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96" w:rsidRDefault="00AD0996" w:rsidP="00AD0996">
      <w:pPr>
        <w:pStyle w:val="1"/>
        <w:numPr>
          <w:ilvl w:val="0"/>
          <w:numId w:val="3"/>
        </w:numPr>
      </w:pPr>
      <w:bookmarkStart w:id="0" w:name="_Toc478378004"/>
      <w:r>
        <w:rPr>
          <w:rFonts w:hint="eastAsia"/>
        </w:rPr>
        <w:t>技术、商务及其他要求</w:t>
      </w:r>
      <w:bookmarkEnd w:id="0"/>
    </w:p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1" w:name="_Toc417566432"/>
      <w:bookmarkStart w:id="2" w:name="_Toc414347857"/>
      <w:bookmarkStart w:id="3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1"/>
      <w:bookmarkEnd w:id="2"/>
      <w:r>
        <w:rPr>
          <w:rFonts w:hint="eastAsia"/>
          <w:b w:val="0"/>
          <w:bCs w:val="0"/>
          <w:sz w:val="21"/>
          <w:szCs w:val="21"/>
        </w:rPr>
        <w:t>清单</w:t>
      </w:r>
      <w:bookmarkEnd w:id="3"/>
    </w:p>
    <w:tbl>
      <w:tblPr>
        <w:tblW w:w="83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6381"/>
        <w:gridCol w:w="1134"/>
      </w:tblGrid>
      <w:tr w:rsidR="00AD0996" w:rsidTr="00AD099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AD0996" w:rsidTr="00AD0996">
        <w:trPr>
          <w:trHeight w:val="3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离散元颗粒系统仿真工具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1套</w:t>
            </w:r>
          </w:p>
        </w:tc>
      </w:tr>
    </w:tbl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cs="宋体" w:hint="eastAsia"/>
          <w:sz w:val="21"/>
          <w:szCs w:val="21"/>
        </w:rPr>
      </w:pPr>
      <w:bookmarkStart w:id="4" w:name="_Toc477248551"/>
      <w:bookmarkStart w:id="5" w:name="_Toc417566433"/>
      <w:bookmarkStart w:id="6" w:name="_Toc414347862"/>
      <w:bookmarkStart w:id="7" w:name="_Toc405470380"/>
      <w:bookmarkStart w:id="8" w:name="_Toc217446094"/>
      <w:bookmarkStart w:id="9" w:name="_Toc308116285"/>
      <w:bookmarkStart w:id="10" w:name="_Toc295392031"/>
      <w:bookmarkStart w:id="11" w:name="_Toc343513803"/>
      <w:bookmarkStart w:id="12" w:name="_Toc303150932"/>
      <w:bookmarkStart w:id="13" w:name="_Toc249194650"/>
      <w:bookmarkStart w:id="14" w:name="_Toc273336187"/>
      <w:bookmarkStart w:id="15" w:name="_Toc301782771"/>
      <w:bookmarkStart w:id="16" w:name="_Toc301782789"/>
      <w:bookmarkStart w:id="17" w:name="_Toc249366050"/>
      <w:bookmarkStart w:id="18" w:name="_Toc276718522"/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4"/>
      <w:bookmarkEnd w:id="5"/>
      <w:bookmarkEnd w:id="6"/>
    </w:p>
    <w:p w:rsidR="00AD0996" w:rsidRDefault="00AD0996" w:rsidP="00AD0996">
      <w:pPr>
        <w:rPr>
          <w:rFonts w:hint="eastAsia"/>
        </w:rPr>
      </w:pPr>
      <w:r>
        <w:rPr>
          <w:rFonts w:hint="eastAsia"/>
        </w:rPr>
        <w:t>重要性分为“★”和一般无标示指标。★代表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关键指标，不满足该指标项将导致投标被</w:t>
      </w:r>
      <w:r>
        <w:rPr>
          <w:rFonts w:hint="eastAsia"/>
          <w:b/>
        </w:rPr>
        <w:t>拒绝</w:t>
      </w:r>
      <w:r>
        <w:rPr>
          <w:rFonts w:hint="eastAsia"/>
        </w:rPr>
        <w:t>，无标识则表示一般指标项。</w:t>
      </w:r>
    </w:p>
    <w:tbl>
      <w:tblPr>
        <w:tblStyle w:val="a7"/>
        <w:tblW w:w="0" w:type="auto"/>
        <w:tblLook w:val="04A0"/>
      </w:tblPr>
      <w:tblGrid>
        <w:gridCol w:w="671"/>
        <w:gridCol w:w="705"/>
        <w:gridCol w:w="7146"/>
      </w:tblGrid>
      <w:tr w:rsidR="00AD0996" w:rsidTr="00AD0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 w:rsidP="00D014DB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bookmarkStart w:id="19" w:name="_Toc477248552"/>
            <w:bookmarkEnd w:id="7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 w:rsidP="00D014DB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 w:rsidP="00D014DB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AD0996" w:rsidTr="00AD0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 w:rsidP="00D014DB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离散元颗粒系统仿真工具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1）完善的颗粒建模功能：应能考虑散料种类、形状、粒径分布等特点，根据实际问题灵活定义颗粒生成方式；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2）具有设备复杂运动定义功能，施加各种不同的复杂激励，如：连续运动（平动、转动及复合运动）、间歇性运动激励（振动）等；具备周期性运动设置、运动设置复制等功能；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3）具备多种标准CAD几何文件接口，如：IGS、STP和STL格式；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4）具有经过实际工程验证的材料数据库，为用户模型设置提供参考；也允许客户将所关注领域内的各种材料整理成库，在每次建模仿真时，直接从库里导出；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5）采用基于离散元模型的求解器；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6）提供行业内得到认可的接触力学模型，包括Hertz-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Mindlin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模型、Hertz-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Mindlin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with RVD Rolling Friction模型、Hertz-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Mindlin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with JKR模型、 Hertz-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Mindlin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with bonding模型、Hertz-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Mindlin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with Heat Conduction模型、Hysteretic Spring模型等等，可用于计算不同属性颗粒类型、颗粒接触碰撞、破碎、设备磨损等；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7）具有多核并行计算，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提供六核并行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模块；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8）模拟结果能随计算推进实时更新，以便用户快速识别趋势进行修正；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★9）具有图形操作界面，并具有多视图窗口功能，方便使用者在同一界面中从多视图多角度对结果进行快速处理；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10）能够进行基于粒子群的空间分析；能够对颗粒进行跟踪和生成向量图；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11）能够生成颗粒系统的可视化结果，如：图片、动画；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12）具有API二次开发功能，能够实现用户自定义力学模型、颗粒生成方式、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外加场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力等；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13）具有物理场导入功能，以便进行颗粒-物理场相互作用模拟功能；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★14）具有与计算流体力学工具Fluent耦合仿真的嵌入式接口，实现多相流单向及双向耦合仿真分析；</w:t>
            </w:r>
          </w:p>
          <w:p w:rsidR="00AD0996" w:rsidRDefault="00AD0996">
            <w:pPr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★15）具有多体动力学软件接口，能够实现颗粒-结构动力学的耦合仿真。</w:t>
            </w:r>
          </w:p>
        </w:tc>
      </w:tr>
    </w:tbl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cs="宋体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lastRenderedPageBreak/>
        <w:t>★项目履约时间、地点</w:t>
      </w:r>
      <w:bookmarkEnd w:id="19"/>
    </w:p>
    <w:p w:rsidR="00AD0996" w:rsidRDefault="00AD0996" w:rsidP="00AD0996">
      <w:pPr>
        <w:spacing w:line="440" w:lineRule="exact"/>
        <w:ind w:firstLine="405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合同签订后</w:t>
      </w:r>
      <w:r>
        <w:rPr>
          <w:rFonts w:ascii="宋体" w:hint="eastAsia"/>
          <w:szCs w:val="21"/>
          <w:u w:val="single"/>
        </w:rPr>
        <w:t>60</w:t>
      </w:r>
      <w:r>
        <w:rPr>
          <w:rFonts w:ascii="宋体" w:hint="eastAsia"/>
          <w:szCs w:val="21"/>
        </w:rPr>
        <w:t>个日历日内交货，送至西南交通大学九里校区高速铁路线路工程教育部重点实验室。</w:t>
      </w:r>
    </w:p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20" w:name="_Toc477248553"/>
      <w:bookmarkStart w:id="21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0"/>
      <w:bookmarkEnd w:id="21"/>
    </w:p>
    <w:p w:rsidR="00AD0996" w:rsidRDefault="00AD0996" w:rsidP="00AD0996">
      <w:pPr>
        <w:spacing w:line="440" w:lineRule="exact"/>
        <w:ind w:firstLineChars="200" w:firstLine="420"/>
        <w:rPr>
          <w:rFonts w:hint="eastAsia"/>
          <w:szCs w:val="21"/>
        </w:rPr>
      </w:pPr>
      <w:bookmarkStart w:id="22" w:name="_Toc417566438"/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分期付款，第一期，合同签署后支付合同总额的</w:t>
      </w:r>
      <w:r>
        <w:rPr>
          <w:szCs w:val="21"/>
        </w:rPr>
        <w:t>60%</w:t>
      </w:r>
      <w:r>
        <w:rPr>
          <w:rFonts w:hint="eastAsia"/>
          <w:szCs w:val="21"/>
        </w:rPr>
        <w:t>；第二期，货到验收合格，在中标人支付招标人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的质保金后十个工作日内，招标人支付合同总额的</w:t>
      </w:r>
      <w:r>
        <w:rPr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AD0996" w:rsidRDefault="00AD0996" w:rsidP="00AD0996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成交人需提供增值税专用发票。</w:t>
      </w:r>
    </w:p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sz w:val="21"/>
          <w:szCs w:val="21"/>
        </w:rPr>
      </w:pPr>
      <w:bookmarkStart w:id="23" w:name="_Toc477248554"/>
      <w:bookmarkEnd w:id="22"/>
      <w:r>
        <w:rPr>
          <w:rFonts w:hint="eastAsia"/>
          <w:b w:val="0"/>
          <w:bCs w:val="0"/>
          <w:sz w:val="21"/>
          <w:szCs w:val="21"/>
        </w:rPr>
        <w:t>服务要求</w:t>
      </w:r>
      <w:bookmarkEnd w:id="23"/>
    </w:p>
    <w:p w:rsidR="00AD0996" w:rsidRDefault="00AD0996" w:rsidP="00AD0996">
      <w:pPr>
        <w:pStyle w:val="a5"/>
        <w:rPr>
          <w:rFonts w:ascii="宋体" w:hAnsi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重要性分为“</w:t>
      </w:r>
      <w:r>
        <w:rPr>
          <w:rFonts w:ascii="宋体" w:hAnsi="宋体" w:cs="宋体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”和一般无标示指标。</w:t>
      </w:r>
      <w:r>
        <w:rPr>
          <w:rFonts w:ascii="宋体" w:hAnsi="宋体" w:cs="宋体" w:hint="eastAsia"/>
          <w:sz w:val="21"/>
          <w:szCs w:val="21"/>
        </w:rPr>
        <w:t>★代表</w:t>
      </w:r>
      <w:proofErr w:type="gramStart"/>
      <w:r>
        <w:rPr>
          <w:rFonts w:ascii="宋体" w:hAnsi="宋体" w:cs="宋体" w:hint="eastAsia"/>
          <w:sz w:val="21"/>
          <w:szCs w:val="21"/>
        </w:rPr>
        <w:t>最</w:t>
      </w:r>
      <w:proofErr w:type="gramEnd"/>
      <w:r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>
        <w:rPr>
          <w:rFonts w:ascii="宋体" w:hAnsi="宋体" w:cs="宋体" w:hint="eastAsia"/>
          <w:b/>
          <w:sz w:val="21"/>
          <w:szCs w:val="21"/>
        </w:rPr>
        <w:t>拒绝</w:t>
      </w:r>
      <w:r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AD0996" w:rsidTr="00AD0996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服务要求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总体要求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 w:cs="黑体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Cs w:val="21"/>
              </w:rPr>
              <w:t>离散元颗粒系统仿真工具为原产地、原制造厂生产的原装设备，必须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bCs/>
                <w:szCs w:val="21"/>
              </w:rPr>
              <w:t>基于世界</w:t>
            </w:r>
            <w:proofErr w:type="gramEnd"/>
            <w:r>
              <w:rPr>
                <w:rFonts w:asciiTheme="minorEastAsia" w:eastAsiaTheme="minorEastAsia" w:hAnsiTheme="minorEastAsia" w:cs="黑体" w:hint="eastAsia"/>
                <w:bCs/>
                <w:szCs w:val="21"/>
              </w:rPr>
              <w:t>领先的虚拟产品开发技术，引领世界颗粒力学研究的发展方向。设备采用的方法应符合相应的国际和中国国家标准的要求。</w:t>
            </w:r>
          </w:p>
          <w:p w:rsidR="00AD0996" w:rsidRDefault="00AD0996">
            <w:pPr>
              <w:rPr>
                <w:rFonts w:asciiTheme="minorEastAsia" w:eastAsiaTheme="minorEastAsia" w:hAnsiTheme="minorEastAsia" w:cs="黑体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Cs w:val="21"/>
              </w:rPr>
              <w:t>软件为网络浮动型。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使用环境要求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具备广泛的平台适用性，可在PC机、工作站、小型机、巨型机、超级巨型机等多种硬件平台上运行，支持异种异构平台的网络浮动。支持的操作系统有Linux、Win7、Win8、Win10等。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技术资料范围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为了保证招标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方更好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地使用软件产品，投标方向招标方提供软件使用手册及软件安装光盘，内容包括：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（1）正版软件安装光盘及软件许可证文件。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（2）软件功能说明书及光盘。</w:t>
            </w:r>
          </w:p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（3）培训教材。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验收方法与要求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1验收方式为到货验收。软件到货后，买方组织相关人员进行货物验收。包括安装光盘、软件许可证（License）、软件资料等。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2完成使用操作、使用及系统管理等技术培训。</w:t>
            </w:r>
          </w:p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3软件安装调试期间卖方必须与买方签署安全保密协议并严格遵守。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使用方法培训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培训内容：软件实用功能、基础算例讲解、道砟建模、API二次开发、讨论与答疑等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培训目的：使参加培训的人员基本掌握软件使用和具体操作，并且可以应用软件解决实际工程问题。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培训地点：订货方所在地，也可由双方协商确定。</w:t>
            </w:r>
          </w:p>
          <w:p w:rsidR="00AD0996" w:rsidRDefault="00AD0996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培训时间：五天及以上。</w:t>
            </w:r>
          </w:p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培训License：供货方将为每位学员提供培训期间的License，以保证培训效果。</w:t>
            </w:r>
          </w:p>
        </w:tc>
      </w:tr>
      <w:tr w:rsidR="00AD0996" w:rsidTr="00AD09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996" w:rsidRDefault="00AD09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96" w:rsidRDefault="00AD099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供货方对软件产品提供为期壹年的免费维护、升级和技术支持。服务期起算日期：以用户申请正式安装的许可号（License Key）之日起算。免费服务的具体内容如下：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壹年内免费更换损坏的软件光盘。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壹年内软件免费升级，由供货方免费提供升级介质。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壹年内免费提供软件移机服务。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壹年内免费基于每周5天，每天8小时（公休日及节假日除外）的电话、电子邮件和传真的技术支持。即用户在软件使用中遇到问题时，可以直接通过电话、电子邮件或传真与供货方联系，供货方将提供免费的技术支持。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供货方将于与用户技术人员建立良好通畅的互动联系，以便用户在需要技术支持的时候，能够得到及时的响应。</w:t>
            </w:r>
          </w:p>
          <w:p w:rsidR="00AD0996" w:rsidRDefault="00AD0996" w:rsidP="00AD0996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供货方将与订货方联络，传送软件的新动向。邀请用户参加各类会议、行业技术研讨会等。</w:t>
            </w:r>
          </w:p>
        </w:tc>
      </w:tr>
    </w:tbl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cs="宋体" w:hint="eastAsia"/>
          <w:sz w:val="21"/>
          <w:szCs w:val="21"/>
        </w:rPr>
      </w:pPr>
      <w:bookmarkStart w:id="24" w:name="_Toc477248555"/>
      <w:bookmarkStart w:id="25" w:name="_Toc43026922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/>
          <w:b w:val="0"/>
          <w:bCs w:val="0"/>
          <w:sz w:val="21"/>
          <w:szCs w:val="21"/>
        </w:rPr>
        <w:t>验收标准</w:t>
      </w:r>
      <w:bookmarkEnd w:id="24"/>
      <w:bookmarkEnd w:id="25"/>
    </w:p>
    <w:p w:rsidR="00AD0996" w:rsidRDefault="00AD0996" w:rsidP="00AD0996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AD0996" w:rsidRDefault="00AD0996" w:rsidP="00AD0996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AD0996" w:rsidRDefault="00AD0996" w:rsidP="00AD0996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AD0996" w:rsidRDefault="00AD0996" w:rsidP="00AD0996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AD0996" w:rsidRDefault="00AD0996" w:rsidP="00AD0996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AD0996" w:rsidRDefault="00AD0996" w:rsidP="00AD0996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AD0996" w:rsidRDefault="00AD0996" w:rsidP="00AD0996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AD0996" w:rsidRDefault="00AD0996" w:rsidP="00AD0996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AD0996" w:rsidRDefault="00AD0996" w:rsidP="00AD0996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AD0996" w:rsidRDefault="00AD0996" w:rsidP="00AD0996">
      <w:pPr>
        <w:pStyle w:val="2"/>
        <w:numPr>
          <w:ilvl w:val="1"/>
          <w:numId w:val="3"/>
        </w:numPr>
        <w:spacing w:line="440" w:lineRule="exact"/>
        <w:rPr>
          <w:rFonts w:hint="eastAsia"/>
          <w:sz w:val="21"/>
          <w:szCs w:val="21"/>
        </w:rPr>
      </w:pPr>
      <w:bookmarkStart w:id="26" w:name="_Toc477248556"/>
      <w:bookmarkStart w:id="27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6"/>
      <w:bookmarkEnd w:id="27"/>
    </w:p>
    <w:p w:rsidR="00AD0996" w:rsidRDefault="00AD0996" w:rsidP="00AD0996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</w:t>
      </w:r>
      <w:r>
        <w:rPr>
          <w:rFonts w:ascii="宋体" w:hAnsi="宋体" w:hint="eastAsia"/>
          <w:szCs w:val="21"/>
        </w:rPr>
        <w:lastRenderedPageBreak/>
        <w:t>利权、商标权或其它知识产权而引起法律和经济纠纷，由供应商承担所有相关责任。</w:t>
      </w:r>
    </w:p>
    <w:p w:rsidR="00AD0996" w:rsidRDefault="00AD0996" w:rsidP="00AD0996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AD0996" w:rsidRDefault="00AD0996" w:rsidP="00AD0996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AD0996" w:rsidRDefault="00AD0996" w:rsidP="00AD0996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28" w:name="_Toc320624224"/>
      <w:bookmarkStart w:id="29" w:name="_Toc338233629"/>
      <w:bookmarkStart w:id="30" w:name="_Toc338233630"/>
      <w:bookmarkStart w:id="31" w:name="_Toc338233631"/>
      <w:bookmarkStart w:id="32" w:name="_Toc338233632"/>
      <w:bookmarkStart w:id="33" w:name="_Toc315871092"/>
      <w:bookmarkStart w:id="34" w:name="_Toc315871128"/>
      <w:bookmarkStart w:id="35" w:name="_Toc315871129"/>
      <w:bookmarkStart w:id="36" w:name="_Toc315871130"/>
      <w:bookmarkStart w:id="37" w:name="_Toc315871131"/>
      <w:bookmarkStart w:id="38" w:name="_Toc315871132"/>
      <w:bookmarkStart w:id="39" w:name="_Toc315871133"/>
      <w:bookmarkStart w:id="40" w:name="_Toc315871134"/>
      <w:bookmarkStart w:id="41" w:name="_Toc315871135"/>
      <w:bookmarkStart w:id="42" w:name="_Toc315871136"/>
      <w:bookmarkStart w:id="43" w:name="_Toc316291610"/>
      <w:bookmarkStart w:id="44" w:name="_Toc316292239"/>
      <w:bookmarkStart w:id="45" w:name="_Toc316291611"/>
      <w:bookmarkStart w:id="46" w:name="_Toc316292240"/>
      <w:bookmarkStart w:id="47" w:name="_Toc316291612"/>
      <w:bookmarkStart w:id="48" w:name="_Toc316292241"/>
      <w:bookmarkStart w:id="49" w:name="_Toc315871139"/>
      <w:bookmarkStart w:id="50" w:name="_Toc315871140"/>
      <w:bookmarkStart w:id="51" w:name="_Toc315871141"/>
      <w:bookmarkStart w:id="52" w:name="_Toc315871223"/>
      <w:bookmarkStart w:id="53" w:name="_Toc315871235"/>
      <w:bookmarkStart w:id="54" w:name="_Toc315871243"/>
      <w:bookmarkStart w:id="55" w:name="_Toc315871247"/>
      <w:bookmarkStart w:id="56" w:name="_Toc315871303"/>
      <w:bookmarkStart w:id="57" w:name="_Toc315871307"/>
      <w:bookmarkStart w:id="58" w:name="_Toc315871311"/>
      <w:bookmarkStart w:id="59" w:name="_Toc315871319"/>
      <w:bookmarkStart w:id="60" w:name="_Toc315871351"/>
      <w:bookmarkStart w:id="61" w:name="_Toc315871357"/>
      <w:bookmarkStart w:id="62" w:name="_Toc315871363"/>
      <w:bookmarkStart w:id="63" w:name="_Toc315871451"/>
      <w:bookmarkStart w:id="64" w:name="_Toc315871452"/>
      <w:bookmarkStart w:id="65" w:name="_Toc315871540"/>
      <w:bookmarkStart w:id="66" w:name="_Toc315871573"/>
      <w:bookmarkStart w:id="67" w:name="_Toc315871574"/>
      <w:bookmarkStart w:id="68" w:name="_Toc315871575"/>
      <w:bookmarkStart w:id="69" w:name="_Toc315871609"/>
      <w:bookmarkStart w:id="70" w:name="_Toc315871619"/>
      <w:bookmarkStart w:id="71" w:name="_Toc315871620"/>
      <w:bookmarkStart w:id="72" w:name="_Toc315871622"/>
      <w:bookmarkStart w:id="73" w:name="_Toc315871623"/>
      <w:bookmarkStart w:id="74" w:name="_Toc315871624"/>
      <w:bookmarkStart w:id="75" w:name="_Toc315871625"/>
      <w:bookmarkStart w:id="76" w:name="_Toc315871626"/>
      <w:bookmarkStart w:id="77" w:name="_Toc315871627"/>
      <w:bookmarkStart w:id="78" w:name="_Toc315871628"/>
      <w:bookmarkStart w:id="79" w:name="_Toc315871629"/>
      <w:bookmarkStart w:id="80" w:name="_Toc315871630"/>
      <w:bookmarkStart w:id="81" w:name="_Toc315871631"/>
      <w:bookmarkStart w:id="82" w:name="_Toc315871632"/>
      <w:bookmarkStart w:id="83" w:name="_Toc315871633"/>
      <w:bookmarkStart w:id="84" w:name="_Toc315871634"/>
      <w:bookmarkStart w:id="85" w:name="_Toc315871635"/>
      <w:bookmarkStart w:id="86" w:name="_Toc315871636"/>
      <w:bookmarkStart w:id="87" w:name="_Toc315871637"/>
      <w:bookmarkStart w:id="88" w:name="_Toc321396066"/>
      <w:bookmarkStart w:id="89" w:name="_Toc323736005"/>
      <w:bookmarkStart w:id="90" w:name="_Toc316475642"/>
      <w:bookmarkStart w:id="91" w:name="_Toc316475738"/>
      <w:bookmarkStart w:id="92" w:name="_Toc316475643"/>
      <w:bookmarkStart w:id="93" w:name="_Toc316475739"/>
      <w:bookmarkStart w:id="94" w:name="_Toc316475644"/>
      <w:bookmarkStart w:id="95" w:name="_Toc316475740"/>
      <w:bookmarkStart w:id="96" w:name="_Toc316475645"/>
      <w:bookmarkStart w:id="97" w:name="_Toc316475741"/>
      <w:bookmarkStart w:id="98" w:name="_Toc338233514"/>
      <w:bookmarkStart w:id="99" w:name="_Toc338233515"/>
      <w:bookmarkStart w:id="100" w:name="_Toc338233516"/>
      <w:bookmarkStart w:id="101" w:name="_Toc338233565"/>
      <w:bookmarkStart w:id="102" w:name="_Toc338233566"/>
      <w:bookmarkStart w:id="103" w:name="_Toc338233567"/>
      <w:bookmarkStart w:id="104" w:name="_Toc338233568"/>
      <w:bookmarkStart w:id="105" w:name="_Toc338233569"/>
      <w:bookmarkStart w:id="106" w:name="_Toc338233621"/>
      <w:bookmarkStart w:id="107" w:name="_Toc338233622"/>
      <w:bookmarkStart w:id="108" w:name="_Toc338233623"/>
      <w:bookmarkStart w:id="109" w:name="_Toc338233624"/>
      <w:bookmarkStart w:id="110" w:name="_Toc338233625"/>
      <w:bookmarkStart w:id="111" w:name="_Toc338233626"/>
      <w:bookmarkStart w:id="112" w:name="_Toc338233627"/>
      <w:bookmarkStart w:id="113" w:name="_Toc338233628"/>
      <w:bookmarkStart w:id="114" w:name="_Toc320624215"/>
      <w:bookmarkStart w:id="115" w:name="_Toc320624216"/>
      <w:bookmarkStart w:id="116" w:name="_Toc320624217"/>
      <w:bookmarkStart w:id="117" w:name="_Toc320624218"/>
      <w:bookmarkStart w:id="118" w:name="_Toc320624219"/>
      <w:bookmarkStart w:id="119" w:name="_Toc320624220"/>
      <w:bookmarkStart w:id="120" w:name="_Toc320624221"/>
      <w:bookmarkStart w:id="121" w:name="_Toc320624222"/>
      <w:bookmarkStart w:id="122" w:name="_Toc320624223"/>
      <w:bookmarkStart w:id="123" w:name="_Toc320624214"/>
      <w:bookmarkStart w:id="124" w:name="_Toc320624213"/>
      <w:bookmarkStart w:id="125" w:name="_Toc32062421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AD0996" w:rsidRDefault="00AD0996" w:rsidP="00AD0996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br w:type="page"/>
      </w:r>
    </w:p>
    <w:p w:rsidR="00586DCE" w:rsidRPr="00AD0996" w:rsidRDefault="00586DCE" w:rsidP="00AD0996">
      <w:pPr>
        <w:rPr>
          <w:szCs w:val="24"/>
        </w:rPr>
      </w:pPr>
    </w:p>
    <w:sectPr w:rsidR="00586DCE" w:rsidRPr="00AD0996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E5" w:rsidRDefault="00A42BE5" w:rsidP="006718F6">
      <w:r>
        <w:separator/>
      </w:r>
    </w:p>
  </w:endnote>
  <w:endnote w:type="continuationSeparator" w:id="0">
    <w:p w:rsidR="00A42BE5" w:rsidRDefault="00A42BE5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AE08B9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AD0996" w:rsidRPr="00AD0996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E5" w:rsidRDefault="00A42BE5" w:rsidP="006718F6">
      <w:r>
        <w:separator/>
      </w:r>
    </w:p>
  </w:footnote>
  <w:footnote w:type="continuationSeparator" w:id="0">
    <w:p w:rsidR="00A42BE5" w:rsidRDefault="00A42BE5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E7B17"/>
    <w:multiLevelType w:val="multilevel"/>
    <w:tmpl w:val="270C4DFC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eastAsia="宋体" w:hAnsi="宋体" w:cs="宋体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5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93E699B"/>
    <w:multiLevelType w:val="singleLevel"/>
    <w:tmpl w:val="593E699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8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660A5B9A"/>
    <w:multiLevelType w:val="hybridMultilevel"/>
    <w:tmpl w:val="B6881156"/>
    <w:lvl w:ilvl="0" w:tplc="31D87B8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4650E"/>
    <w:multiLevelType w:val="multilevel"/>
    <w:tmpl w:val="78909A74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12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7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F15"/>
    <w:rsid w:val="000119A8"/>
    <w:rsid w:val="000128FB"/>
    <w:rsid w:val="000174B8"/>
    <w:rsid w:val="00024EEE"/>
    <w:rsid w:val="00024F80"/>
    <w:rsid w:val="00026BBD"/>
    <w:rsid w:val="00043C68"/>
    <w:rsid w:val="000714A0"/>
    <w:rsid w:val="00072380"/>
    <w:rsid w:val="00075F67"/>
    <w:rsid w:val="00076CA1"/>
    <w:rsid w:val="00077349"/>
    <w:rsid w:val="00080A9B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0E7585"/>
    <w:rsid w:val="00102A39"/>
    <w:rsid w:val="0010578D"/>
    <w:rsid w:val="001076F8"/>
    <w:rsid w:val="00116475"/>
    <w:rsid w:val="00122598"/>
    <w:rsid w:val="00125F65"/>
    <w:rsid w:val="00127DBD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87E69"/>
    <w:rsid w:val="001913B7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1F2FCB"/>
    <w:rsid w:val="001F75D2"/>
    <w:rsid w:val="00201187"/>
    <w:rsid w:val="002034FF"/>
    <w:rsid w:val="00206B0D"/>
    <w:rsid w:val="002113C1"/>
    <w:rsid w:val="0021473A"/>
    <w:rsid w:val="00220391"/>
    <w:rsid w:val="00221B37"/>
    <w:rsid w:val="002254D1"/>
    <w:rsid w:val="00226170"/>
    <w:rsid w:val="00227DBA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7331B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4669"/>
    <w:rsid w:val="00326B09"/>
    <w:rsid w:val="00331C8F"/>
    <w:rsid w:val="0033325E"/>
    <w:rsid w:val="0033604C"/>
    <w:rsid w:val="00343B26"/>
    <w:rsid w:val="003472AE"/>
    <w:rsid w:val="003739B5"/>
    <w:rsid w:val="00376A52"/>
    <w:rsid w:val="00376CFF"/>
    <w:rsid w:val="003774F1"/>
    <w:rsid w:val="003863AE"/>
    <w:rsid w:val="00391BA1"/>
    <w:rsid w:val="003930F2"/>
    <w:rsid w:val="00393A8B"/>
    <w:rsid w:val="00394233"/>
    <w:rsid w:val="00397C92"/>
    <w:rsid w:val="003A501E"/>
    <w:rsid w:val="003B4383"/>
    <w:rsid w:val="003B6836"/>
    <w:rsid w:val="003B7FAA"/>
    <w:rsid w:val="003C25E3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13E9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ADF"/>
    <w:rsid w:val="00492E57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3095"/>
    <w:rsid w:val="005D4774"/>
    <w:rsid w:val="005E15D6"/>
    <w:rsid w:val="005E47DB"/>
    <w:rsid w:val="005E4E2D"/>
    <w:rsid w:val="005F28BE"/>
    <w:rsid w:val="005F3DD8"/>
    <w:rsid w:val="005F597A"/>
    <w:rsid w:val="0060476C"/>
    <w:rsid w:val="00606C15"/>
    <w:rsid w:val="00606C5B"/>
    <w:rsid w:val="00624092"/>
    <w:rsid w:val="00626B84"/>
    <w:rsid w:val="00626EB9"/>
    <w:rsid w:val="00627432"/>
    <w:rsid w:val="00643A50"/>
    <w:rsid w:val="00651572"/>
    <w:rsid w:val="0065161F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1C89"/>
    <w:rsid w:val="0071208D"/>
    <w:rsid w:val="0071480D"/>
    <w:rsid w:val="0072204A"/>
    <w:rsid w:val="00732938"/>
    <w:rsid w:val="00737688"/>
    <w:rsid w:val="0075341B"/>
    <w:rsid w:val="00753498"/>
    <w:rsid w:val="00754D24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4ED0"/>
    <w:rsid w:val="007E0D41"/>
    <w:rsid w:val="007F1F68"/>
    <w:rsid w:val="007F3790"/>
    <w:rsid w:val="007F4B56"/>
    <w:rsid w:val="007F4D1F"/>
    <w:rsid w:val="00803DB1"/>
    <w:rsid w:val="0080535C"/>
    <w:rsid w:val="00807B91"/>
    <w:rsid w:val="00810DE3"/>
    <w:rsid w:val="008137FA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608ED"/>
    <w:rsid w:val="008674EE"/>
    <w:rsid w:val="00885450"/>
    <w:rsid w:val="008A2DCD"/>
    <w:rsid w:val="008A6F2A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A14058"/>
    <w:rsid w:val="00A145F9"/>
    <w:rsid w:val="00A17767"/>
    <w:rsid w:val="00A2106F"/>
    <w:rsid w:val="00A26161"/>
    <w:rsid w:val="00A313DD"/>
    <w:rsid w:val="00A41D4E"/>
    <w:rsid w:val="00A42BE5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0996"/>
    <w:rsid w:val="00AD505B"/>
    <w:rsid w:val="00AD67ED"/>
    <w:rsid w:val="00AD733B"/>
    <w:rsid w:val="00AE08B9"/>
    <w:rsid w:val="00AE2E00"/>
    <w:rsid w:val="00AE3CA4"/>
    <w:rsid w:val="00AE63FF"/>
    <w:rsid w:val="00AE7EFC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36595"/>
    <w:rsid w:val="00B373C8"/>
    <w:rsid w:val="00B37B9A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211C"/>
    <w:rsid w:val="00BF0CF1"/>
    <w:rsid w:val="00BF29C5"/>
    <w:rsid w:val="00BF2D0C"/>
    <w:rsid w:val="00BF2D74"/>
    <w:rsid w:val="00BF5E92"/>
    <w:rsid w:val="00C00A79"/>
    <w:rsid w:val="00C071B4"/>
    <w:rsid w:val="00C117B4"/>
    <w:rsid w:val="00C12515"/>
    <w:rsid w:val="00C136B1"/>
    <w:rsid w:val="00C14942"/>
    <w:rsid w:val="00C171F3"/>
    <w:rsid w:val="00C23FC3"/>
    <w:rsid w:val="00C250A8"/>
    <w:rsid w:val="00C37899"/>
    <w:rsid w:val="00C41B9D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95D39"/>
    <w:rsid w:val="00CB4A1F"/>
    <w:rsid w:val="00CB69F8"/>
    <w:rsid w:val="00CB6FE2"/>
    <w:rsid w:val="00CD33CE"/>
    <w:rsid w:val="00CD4ECD"/>
    <w:rsid w:val="00CE4337"/>
    <w:rsid w:val="00CE4799"/>
    <w:rsid w:val="00CF02B0"/>
    <w:rsid w:val="00CF347C"/>
    <w:rsid w:val="00D07B4B"/>
    <w:rsid w:val="00D13CEF"/>
    <w:rsid w:val="00D149AA"/>
    <w:rsid w:val="00D149B0"/>
    <w:rsid w:val="00D15409"/>
    <w:rsid w:val="00D22C15"/>
    <w:rsid w:val="00D23408"/>
    <w:rsid w:val="00D34CCD"/>
    <w:rsid w:val="00D36D2C"/>
    <w:rsid w:val="00D401F7"/>
    <w:rsid w:val="00D431CD"/>
    <w:rsid w:val="00D44AAA"/>
    <w:rsid w:val="00D4623A"/>
    <w:rsid w:val="00D53F5C"/>
    <w:rsid w:val="00D54ED2"/>
    <w:rsid w:val="00D63643"/>
    <w:rsid w:val="00D83CD6"/>
    <w:rsid w:val="00D876D4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5A5A"/>
    <w:rsid w:val="00F12FAD"/>
    <w:rsid w:val="00F14F3B"/>
    <w:rsid w:val="00F17A51"/>
    <w:rsid w:val="00F17B18"/>
    <w:rsid w:val="00F34D0F"/>
    <w:rsid w:val="00F35842"/>
    <w:rsid w:val="00F41DDA"/>
    <w:rsid w:val="00F42816"/>
    <w:rsid w:val="00F4289A"/>
    <w:rsid w:val="00F52765"/>
    <w:rsid w:val="00F55A7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0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24</cp:revision>
  <cp:lastPrinted>2017-05-09T09:20:00Z</cp:lastPrinted>
  <dcterms:created xsi:type="dcterms:W3CDTF">2017-06-08T09:05:00Z</dcterms:created>
  <dcterms:modified xsi:type="dcterms:W3CDTF">2017-06-20T07:52:00Z</dcterms:modified>
</cp:coreProperties>
</file>