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55" w:rsidRPr="00E67810" w:rsidRDefault="00774F55" w:rsidP="00774F55">
      <w:pPr>
        <w:pStyle w:val="1"/>
      </w:pPr>
      <w:r w:rsidRPr="00E67810">
        <w:rPr>
          <w:rFonts w:hint="eastAsia"/>
        </w:rPr>
        <w:t>技术、商务及其他要求</w:t>
      </w:r>
    </w:p>
    <w:p w:rsidR="00774F55" w:rsidRPr="00E67810" w:rsidRDefault="00774F55" w:rsidP="00774F55">
      <w:pPr>
        <w:pStyle w:val="10"/>
        <w:keepNext/>
        <w:numPr>
          <w:ilvl w:val="0"/>
          <w:numId w:val="2"/>
        </w:numPr>
        <w:spacing w:before="260" w:after="260" w:line="360" w:lineRule="auto"/>
        <w:ind w:firstLineChars="0"/>
        <w:jc w:val="left"/>
        <w:outlineLvl w:val="1"/>
        <w:rPr>
          <w:rFonts w:ascii="宋体" w:hAnsi="宋体"/>
          <w:b/>
          <w:bCs/>
          <w:vanish/>
          <w:szCs w:val="21"/>
        </w:rPr>
      </w:pPr>
      <w:bookmarkStart w:id="0" w:name="_Toc417566432"/>
      <w:bookmarkStart w:id="1" w:name="_Toc414347857"/>
      <w:bookmarkStart w:id="2" w:name="_Toc477248550"/>
    </w:p>
    <w:p w:rsidR="00774F55" w:rsidRPr="00E67810" w:rsidRDefault="00774F55" w:rsidP="00774F55">
      <w:pPr>
        <w:pStyle w:val="10"/>
        <w:keepNext/>
        <w:numPr>
          <w:ilvl w:val="0"/>
          <w:numId w:val="2"/>
        </w:numPr>
        <w:spacing w:before="260" w:after="260" w:line="360" w:lineRule="auto"/>
        <w:ind w:firstLineChars="0"/>
        <w:jc w:val="left"/>
        <w:outlineLvl w:val="1"/>
        <w:rPr>
          <w:rFonts w:ascii="宋体" w:hAnsi="宋体"/>
          <w:b/>
          <w:bCs/>
          <w:vanish/>
          <w:szCs w:val="21"/>
        </w:rPr>
      </w:pPr>
    </w:p>
    <w:p w:rsidR="00774F55" w:rsidRPr="00E67810" w:rsidRDefault="00774F55" w:rsidP="00774F55">
      <w:pPr>
        <w:pStyle w:val="10"/>
        <w:keepNext/>
        <w:numPr>
          <w:ilvl w:val="0"/>
          <w:numId w:val="2"/>
        </w:numPr>
        <w:spacing w:before="260" w:after="260" w:line="360" w:lineRule="auto"/>
        <w:ind w:firstLineChars="0"/>
        <w:jc w:val="left"/>
        <w:outlineLvl w:val="1"/>
        <w:rPr>
          <w:rFonts w:ascii="宋体" w:hAnsi="宋体"/>
          <w:b/>
          <w:bCs/>
          <w:vanish/>
          <w:szCs w:val="21"/>
        </w:rPr>
      </w:pPr>
    </w:p>
    <w:p w:rsidR="00774F55" w:rsidRPr="00E67810" w:rsidRDefault="00774F55" w:rsidP="00774F55">
      <w:pPr>
        <w:pStyle w:val="10"/>
        <w:keepNext/>
        <w:numPr>
          <w:ilvl w:val="0"/>
          <w:numId w:val="2"/>
        </w:numPr>
        <w:spacing w:before="260" w:after="260" w:line="360" w:lineRule="auto"/>
        <w:ind w:firstLineChars="0"/>
        <w:jc w:val="left"/>
        <w:outlineLvl w:val="1"/>
        <w:rPr>
          <w:rFonts w:ascii="宋体" w:hAnsi="宋体"/>
          <w:b/>
          <w:bCs/>
          <w:vanish/>
          <w:szCs w:val="21"/>
        </w:rPr>
      </w:pPr>
    </w:p>
    <w:p w:rsidR="00774F55" w:rsidRPr="00E67810" w:rsidRDefault="00774F55" w:rsidP="00774F55">
      <w:pPr>
        <w:pStyle w:val="2"/>
        <w:spacing w:line="440" w:lineRule="exact"/>
        <w:rPr>
          <w:sz w:val="21"/>
          <w:szCs w:val="21"/>
        </w:rPr>
      </w:pPr>
      <w:r w:rsidRPr="00E67810">
        <w:rPr>
          <w:rFonts w:hint="eastAsia"/>
          <w:sz w:val="21"/>
          <w:szCs w:val="21"/>
        </w:rPr>
        <w:t>采购</w:t>
      </w:r>
      <w:bookmarkEnd w:id="0"/>
      <w:bookmarkEnd w:id="1"/>
      <w:r w:rsidRPr="00E67810">
        <w:rPr>
          <w:rFonts w:hint="eastAsia"/>
          <w:sz w:val="21"/>
          <w:szCs w:val="21"/>
        </w:rPr>
        <w:t>清单</w:t>
      </w:r>
      <w:bookmarkStart w:id="3" w:name="_Toc417566433"/>
      <w:bookmarkStart w:id="4" w:name="_Toc477248551"/>
      <w:bookmarkStart w:id="5" w:name="_Toc414347862"/>
      <w:bookmarkStart w:id="6" w:name="_Toc405470380"/>
      <w:bookmarkStart w:id="7" w:name="_Toc273336187"/>
      <w:bookmarkStart w:id="8" w:name="_Toc303150932"/>
      <w:bookmarkStart w:id="9" w:name="_Toc301782771"/>
      <w:bookmarkStart w:id="10" w:name="_Toc276718522"/>
      <w:bookmarkStart w:id="11" w:name="_Toc217446094"/>
      <w:bookmarkStart w:id="12" w:name="_Toc301782789"/>
      <w:bookmarkStart w:id="13" w:name="_Toc249366050"/>
      <w:bookmarkStart w:id="14" w:name="_Toc343513803"/>
      <w:bookmarkStart w:id="15" w:name="_Toc249194650"/>
      <w:bookmarkStart w:id="16" w:name="_Toc295392031"/>
      <w:bookmarkStart w:id="17" w:name="_Toc308116285"/>
      <w:bookmarkEnd w:id="2"/>
    </w:p>
    <w:tbl>
      <w:tblPr>
        <w:tblW w:w="8620" w:type="dxa"/>
        <w:tblInd w:w="93" w:type="dxa"/>
        <w:tblLayout w:type="fixed"/>
        <w:tblLook w:val="04A0" w:firstRow="1" w:lastRow="0" w:firstColumn="1" w:lastColumn="0" w:noHBand="0" w:noVBand="1"/>
      </w:tblPr>
      <w:tblGrid>
        <w:gridCol w:w="1080"/>
        <w:gridCol w:w="4300"/>
        <w:gridCol w:w="1080"/>
        <w:gridCol w:w="1080"/>
        <w:gridCol w:w="1080"/>
      </w:tblGrid>
      <w:tr w:rsidR="00774F55" w:rsidRPr="00E67810" w:rsidTr="00AA50FB">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b/>
                <w:bCs/>
                <w:kern w:val="0"/>
                <w:szCs w:val="21"/>
              </w:rPr>
            </w:pPr>
            <w:r w:rsidRPr="00E67810">
              <w:rPr>
                <w:rFonts w:ascii="宋体" w:hAnsi="宋体" w:cs="宋体" w:hint="eastAsia"/>
                <w:b/>
                <w:bCs/>
                <w:kern w:val="0"/>
                <w:szCs w:val="21"/>
              </w:rPr>
              <w:t>序号</w:t>
            </w:r>
          </w:p>
        </w:tc>
        <w:tc>
          <w:tcPr>
            <w:tcW w:w="4300" w:type="dxa"/>
            <w:tcBorders>
              <w:top w:val="single" w:sz="4" w:space="0" w:color="auto"/>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b/>
                <w:bCs/>
                <w:kern w:val="0"/>
                <w:szCs w:val="21"/>
              </w:rPr>
            </w:pPr>
            <w:r w:rsidRPr="00E67810">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b/>
                <w:bCs/>
                <w:kern w:val="0"/>
                <w:szCs w:val="21"/>
              </w:rPr>
            </w:pPr>
            <w:r w:rsidRPr="00E67810">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b/>
                <w:bCs/>
                <w:kern w:val="0"/>
                <w:szCs w:val="21"/>
              </w:rPr>
            </w:pPr>
            <w:r w:rsidRPr="00E67810">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b/>
                <w:bCs/>
                <w:kern w:val="0"/>
                <w:szCs w:val="21"/>
              </w:rPr>
            </w:pPr>
            <w:r w:rsidRPr="00E67810">
              <w:rPr>
                <w:rFonts w:ascii="宋体" w:hAnsi="宋体" w:cs="宋体" w:hint="eastAsia"/>
                <w:b/>
                <w:bCs/>
                <w:kern w:val="0"/>
                <w:szCs w:val="21"/>
              </w:rPr>
              <w:t>备注</w:t>
            </w:r>
          </w:p>
        </w:tc>
      </w:tr>
      <w:tr w:rsidR="00774F55" w:rsidRPr="00E67810" w:rsidTr="00AA50FB">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1</w:t>
            </w:r>
          </w:p>
        </w:tc>
        <w:tc>
          <w:tcPr>
            <w:tcW w:w="430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流控设备</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台</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1</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 xml:space="preserve">　</w:t>
            </w:r>
          </w:p>
        </w:tc>
      </w:tr>
      <w:tr w:rsidR="00774F55" w:rsidRPr="00E67810" w:rsidTr="00AA50FB">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2</w:t>
            </w:r>
          </w:p>
        </w:tc>
        <w:tc>
          <w:tcPr>
            <w:tcW w:w="430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VPN设备</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台</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1</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 xml:space="preserve">　</w:t>
            </w:r>
          </w:p>
        </w:tc>
      </w:tr>
      <w:tr w:rsidR="00774F55" w:rsidRPr="00E67810" w:rsidTr="00AA50FB">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3</w:t>
            </w:r>
          </w:p>
        </w:tc>
        <w:tc>
          <w:tcPr>
            <w:tcW w:w="430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磁盘管理组件(数据中心运维系统扩展)</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套</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1</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 xml:space="preserve">　</w:t>
            </w:r>
          </w:p>
        </w:tc>
      </w:tr>
      <w:tr w:rsidR="00774F55" w:rsidRPr="00E67810" w:rsidTr="00AA50FB">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4</w:t>
            </w:r>
          </w:p>
        </w:tc>
        <w:tc>
          <w:tcPr>
            <w:tcW w:w="430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AD域管理组件(数据中心运维系统扩展)</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套</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1</w:t>
            </w:r>
          </w:p>
        </w:tc>
        <w:tc>
          <w:tcPr>
            <w:tcW w:w="1080"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 xml:space="preserve">　</w:t>
            </w:r>
          </w:p>
        </w:tc>
      </w:tr>
    </w:tbl>
    <w:p w:rsidR="00774F55" w:rsidRPr="00E67810" w:rsidRDefault="00774F55" w:rsidP="00774F55">
      <w:pPr>
        <w:pStyle w:val="2"/>
        <w:spacing w:line="440" w:lineRule="exact"/>
        <w:rPr>
          <w:sz w:val="21"/>
          <w:szCs w:val="21"/>
        </w:rPr>
      </w:pPr>
      <w:r w:rsidRPr="00E67810">
        <w:rPr>
          <w:rFonts w:hint="eastAsia"/>
          <w:sz w:val="21"/>
          <w:szCs w:val="21"/>
        </w:rPr>
        <w:t>技术参数及要求</w:t>
      </w:r>
      <w:bookmarkEnd w:id="3"/>
      <w:bookmarkEnd w:id="4"/>
      <w:bookmarkEnd w:id="5"/>
    </w:p>
    <w:p w:rsidR="00774F55" w:rsidRPr="00E67810" w:rsidRDefault="00774F55" w:rsidP="00774F55">
      <w:pPr>
        <w:rPr>
          <w:rFonts w:cs="宋体"/>
          <w:szCs w:val="21"/>
        </w:rPr>
      </w:pPr>
      <w:r w:rsidRPr="00E67810">
        <w:rPr>
          <w:rFonts w:hint="eastAsia"/>
        </w:rPr>
        <w:t>重要性分为“</w:t>
      </w:r>
      <w:r w:rsidRPr="00E67810">
        <w:rPr>
          <w:rFonts w:asciiTheme="minorEastAsia" w:eastAsiaTheme="minorEastAsia" w:hAnsiTheme="minorEastAsia" w:hint="eastAsia"/>
          <w:bCs/>
          <w:szCs w:val="21"/>
        </w:rPr>
        <w:t>*</w:t>
      </w:r>
      <w:r w:rsidRPr="00E67810">
        <w:rPr>
          <w:rFonts w:hint="eastAsia"/>
        </w:rPr>
        <w:t>”、“</w:t>
      </w:r>
      <w:r w:rsidRPr="00E67810">
        <w:rPr>
          <w:rFonts w:hint="eastAsia"/>
        </w:rPr>
        <w:t>#</w:t>
      </w:r>
      <w:r w:rsidRPr="00E67810">
        <w:rPr>
          <w:rFonts w:hint="eastAsia"/>
        </w:rPr>
        <w:t>”和一般无标示指标。</w:t>
      </w:r>
      <w:r w:rsidRPr="00E67810">
        <w:rPr>
          <w:rFonts w:asciiTheme="minorEastAsia" w:eastAsiaTheme="minorEastAsia" w:hAnsiTheme="minorEastAsia" w:hint="eastAsia"/>
          <w:bCs/>
          <w:szCs w:val="21"/>
        </w:rPr>
        <w:t>*</w:t>
      </w:r>
      <w:r w:rsidRPr="00E67810">
        <w:rPr>
          <w:rFonts w:hint="eastAsia"/>
        </w:rPr>
        <w:t>代表最关键指标，不满足该指标项将导致投标被</w:t>
      </w:r>
      <w:r w:rsidRPr="00E67810">
        <w:rPr>
          <w:rFonts w:hint="eastAsia"/>
          <w:b/>
        </w:rPr>
        <w:t>拒绝</w:t>
      </w:r>
      <w:r w:rsidRPr="00E67810">
        <w:rPr>
          <w:rFonts w:hint="eastAsia"/>
        </w:rPr>
        <w:t>，</w:t>
      </w:r>
      <w:r w:rsidRPr="00E67810">
        <w:rPr>
          <w:rFonts w:hint="eastAsia"/>
        </w:rPr>
        <w:t>#</w:t>
      </w:r>
      <w:r w:rsidRPr="00E67810">
        <w:rPr>
          <w:rFonts w:hint="eastAsia"/>
        </w:rPr>
        <w:t>代表重要指标，无标识则表示一般指标项。</w:t>
      </w:r>
      <w:bookmarkStart w:id="18" w:name="_Toc477248552"/>
      <w:bookmarkEnd w:id="6"/>
    </w:p>
    <w:tbl>
      <w:tblPr>
        <w:tblStyle w:val="a7"/>
        <w:tblW w:w="8897" w:type="dxa"/>
        <w:tblLayout w:type="fixed"/>
        <w:tblLook w:val="04A0" w:firstRow="1" w:lastRow="0" w:firstColumn="1" w:lastColumn="0" w:noHBand="0" w:noVBand="1"/>
      </w:tblPr>
      <w:tblGrid>
        <w:gridCol w:w="713"/>
        <w:gridCol w:w="1050"/>
        <w:gridCol w:w="7134"/>
      </w:tblGrid>
      <w:tr w:rsidR="00774F55" w:rsidRPr="00E67810" w:rsidTr="00AA50FB">
        <w:tc>
          <w:tcPr>
            <w:tcW w:w="713"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t>序号</w:t>
            </w:r>
          </w:p>
        </w:tc>
        <w:tc>
          <w:tcPr>
            <w:tcW w:w="1050"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t>名称</w:t>
            </w:r>
          </w:p>
        </w:tc>
        <w:tc>
          <w:tcPr>
            <w:tcW w:w="7134" w:type="dxa"/>
            <w:vAlign w:val="center"/>
          </w:tcPr>
          <w:p w:rsidR="00774F55" w:rsidRPr="00E67810" w:rsidRDefault="00774F55" w:rsidP="00AA50FB">
            <w:pPr>
              <w:spacing w:line="440" w:lineRule="exact"/>
              <w:jc w:val="center"/>
              <w:rPr>
                <w:rFonts w:asciiTheme="minorEastAsia" w:eastAsiaTheme="minorEastAsia" w:hAnsiTheme="minorEastAsia"/>
                <w:bCs/>
                <w:szCs w:val="21"/>
              </w:rPr>
            </w:pPr>
            <w:r w:rsidRPr="00E67810">
              <w:rPr>
                <w:rFonts w:asciiTheme="minorEastAsia" w:eastAsiaTheme="minorEastAsia" w:hAnsiTheme="minorEastAsia" w:hint="eastAsia"/>
                <w:b/>
                <w:szCs w:val="21"/>
              </w:rPr>
              <w:t>详细技术指标及功能需求</w:t>
            </w:r>
          </w:p>
        </w:tc>
      </w:tr>
      <w:tr w:rsidR="00774F55" w:rsidRPr="00E67810" w:rsidTr="00AA50FB">
        <w:trPr>
          <w:trHeight w:val="349"/>
        </w:trPr>
        <w:tc>
          <w:tcPr>
            <w:tcW w:w="713"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t>1</w:t>
            </w:r>
          </w:p>
        </w:tc>
        <w:tc>
          <w:tcPr>
            <w:tcW w:w="1050"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t>流控设备</w:t>
            </w:r>
          </w:p>
        </w:tc>
        <w:tc>
          <w:tcPr>
            <w:tcW w:w="7134" w:type="dxa"/>
            <w:vAlign w:val="center"/>
          </w:tcPr>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*1、整机吞吐量≥22Gbps，七层吞吐量≥14Gbps，并发连接数≥3,800,000，在开启防火墙、IPS、WAF、流量控制、僵尸网络检测功能后，支持单向带宽不低于4Gbps。</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*2、标准机架设备,冗余电源，配置4个千兆电口，8个千兆光口，4个万兆光口，所有端口需配置相应模块，同时设备包含2个高速USB2.0接口，1个RJ45串口，另外需提供用于Cisco N7009系列交换机千兆电口模块8块、千兆(多模)SPF光模块8块、10Gb万兆(单模)光模块4块。</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3、为保障设备的高可用性，要求设备支持链路聚合功能，当上行/下行端口链路出现故障时，对应的另一端下行/上行端口自动切断链路。</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#4、设备支持流量管理功能，并且具备多纬度的流量管理，支持根据应用、IP、时间和用户对带宽进行相应的保障和限制，并且能够根据应用类型设置带宽以保证应用类型的带宽优先级。</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#5、可视化流量控制：基于应用、网站、文件、时间、目标IP以及用户的多种流量控制，采用多线路技术、虚拟多线路技术、智能选路技术对多线路分别实现流控，保障核心业务、限制合法业务、阻断非法业务。</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6、应用识别能力：可识别各类互联网应用，不少于1000种应用规则策略，提</w:t>
            </w:r>
            <w:r w:rsidRPr="00E67810">
              <w:rPr>
                <w:rFonts w:asciiTheme="minorEastAsia" w:eastAsiaTheme="minorEastAsia" w:hAnsiTheme="minorEastAsia" w:hint="eastAsia"/>
                <w:bCs/>
                <w:szCs w:val="21"/>
              </w:rPr>
              <w:lastRenderedPageBreak/>
              <w:t>供基于应用识别类型、用户名、接口、安全域、IP地址、端口、时间进行应用访问控制列表的制定。</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*7、为满足多种流控场景，要求设备支持同时对总带宽进行不同纬度的流量划分，支持不同类别应用维度、单IP维度。</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#8、支持在链路聚合环境下使用流量控制，支持对不同链路（包括聚合链路）采用不同的流量控制策略。</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9、要求设备支持URL过滤和文件过滤功能，URL过滤支持不同的过滤类型，包括GET、POST请求过滤和HTTPS网站过滤等，通过支持根据文件的传递类型支持文件上传和下载过滤。</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10、能够有效监测并阻止DDOS攻击，可防护网络层和应用层的攻击，如SYN-Flood, Smurf, SSL-Flood,CC攻击,HTTP慢速攻击等。</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11、支持Land、Smurf、Fraggle、WinNuke、Ping of Death、Tear Drop、IP Spoofing攻击防护、支持SYN Flood、ICMP Flood、UDP Flood、DNS Flood、ARP Flood攻击防护，支持IP地址扫描，端口扫描防护，支持ARP欺骗防护功能、支持IP协议异常报文检测和TCP协议异常报文检测。</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12、特征库检测：基于漏洞以及攻击行为的特征库，提供自动或手动升级方式。防御包括蠕虫、木马、后门、应用层DOS/DDOS、扫描、间谍软件、漏洞攻击、缓冲区溢出、协议异常、IPS逃逸攻击等。</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#13、支持内网访问控制，配置内网区域只允许指定的IP地址或IP范围对外进行访问，防止内部伪造源IP对外DoS攻击的情况。</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14、支持对信任区域主机外发的异常流量进行检测，如ICMP，UPD，SYN，DNS Flood等DDoS攻击行为。</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15、支持CC攻击防护。</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16、支持对常见应用服务（HTTP、FTP、SSH、SMTP、IMAP）和数据库软件（MySQL、Oracle、MSSQL）的口令暴力破解防护功能。</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17、具备防护常见网络协议（SSH、FTP、RDP、VNC、Netbios）和数据库（MySQL、Oracle、MSSQL）的弱密码扫描功能。</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#18、可提供最新的威胁情报信息，能够对新爆发的流行高危漏洞进行预警和自动检测，发现问题后支持一键生成防护规则（提供产品界面截图并加盖厂商公章）。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#19、支持针对网站的漏洞扫描进行防护，能够拦截漏洞扫描设备或软件对网站</w:t>
            </w:r>
            <w:r w:rsidRPr="00E67810">
              <w:rPr>
                <w:rFonts w:asciiTheme="minorEastAsia" w:eastAsiaTheme="minorEastAsia" w:hAnsiTheme="minorEastAsia" w:hint="eastAsia"/>
                <w:bCs/>
                <w:szCs w:val="21"/>
              </w:rPr>
              <w:lastRenderedPageBreak/>
              <w:t>漏洞的扫描探测。</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#20、支持Web漏洞扫描功能，可扫描检测网站是否存在SQL注入、XSS、跨站脚本、目录遍历、文件包含、命令执行等脚本漏洞（提供产品界面截图并加盖厂商公章）。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#21、支持对网站黑链进行检测（提供产品界面截图并加盖厂商公章）。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22、病毒检测：基于流引擎查毒技术，可以针对HTTP、FTP、SMTP、POP3等协议进行查杀；可实时查杀大量文件型、网络型和混合型等各类病毒；并采用新一代虚拟脱壳和行为判断技术，准确查杀各种变种病毒、未知病毒。</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23、支持叠加云端安全服务实现对设备的托管，由云端安全专家对设备进行日志分析和策略配置调整，并按月输出运营月报。</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24、支持对终端已被种植了远控木马或者病毒等恶意软件进行检测，并且能够对检测到的恶意软件行为进行深入的分析，展示和外部命令控制服务器的交互行为和其他可疑行为（提供产品界面截图并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#25、对于未知威胁具备同云端安全分析引擎进行联动的能力，上报可疑行为并在云端进行沙盒检测，并下发威胁行为分析报告（提供具备相关云端查杀能力的证明） 。</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#26、支持通过云端的大数据分析平台，发现和展示整个僵尸网络的构成和分布，定位僵尸网络控制服务器的地址（提供具备相关云端大数据分析能力的证明）。</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#27、支持对经过设备的流量（部署方式：桥接、直通、虚拟链路、旁路流量、镜像流量等）进行分析，发现被保护对象存在的漏洞（非主动扫描），并根据被保护对象发现漏洞数量进行TOP 10排名，支持生成和导出威胁报告，报告内容包含对整体发现的漏洞情况进行分析（提供威胁报告并加盖厂商公章）。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#28、提供安全报表，报表内容体现被保护对象的整体安全等级，发现漏洞情况以及遭受到攻击的漏洞统计，可以查看到有效攻击行为次数和攻击趋势（提供安全报表并加盖厂商公章）。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29、针对数据中心优化，提供统计报表、趋势报表、汇总报表、汇总对比报表、指定对比报表危险行为报表、流速趋势报表等多种报表功能；提供详细的IPS/服务器防护统计、病毒信息统计分析功能；提供根据管理者自定义的风险行为特征自动挖掘并输出风险行为智能报表。</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*30、产品应具备计算机信息系统安全专用产品销售许可证。</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lastRenderedPageBreak/>
              <w:t>#31、Web应用防护能力经过国际知名实验室NSS Labs测试，提供NSS Labs相关测试报告。</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32、提供中华人民共和国公安部颁发的《计算机信息系统安全专用产品销售许可证》。</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33、生产厂家具备国家计算机网络应急技术处理协调中心《网络安全应急服务支撑单位CNCERT证书》。</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34、要求提供不低于5年的免费硬件质保、5年系统版本、相关数据库、资源库的升级。</w:t>
            </w:r>
          </w:p>
        </w:tc>
      </w:tr>
      <w:tr w:rsidR="00774F55" w:rsidRPr="00E67810" w:rsidTr="00AA50FB">
        <w:trPr>
          <w:trHeight w:val="349"/>
        </w:trPr>
        <w:tc>
          <w:tcPr>
            <w:tcW w:w="713"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lastRenderedPageBreak/>
              <w:t>2</w:t>
            </w:r>
          </w:p>
        </w:tc>
        <w:tc>
          <w:tcPr>
            <w:tcW w:w="1050"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t>VPN设备</w:t>
            </w:r>
          </w:p>
        </w:tc>
        <w:tc>
          <w:tcPr>
            <w:tcW w:w="7134" w:type="dxa"/>
            <w:vAlign w:val="center"/>
          </w:tcPr>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*1、须为独立VPN设备，采用标准SSL、TLS 协议，同时支持IPSec VPN、SSLVPN两种VPN，非插卡或防火墙自带VPN模块设备。SSL VPN加密速度不小于100Mbps，SSL VPN最大并发用户数不小于300，SSL VPN每秒新建用户数不小于60，不少于4个千兆电口。</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*2、本次采购需要配备150个SSL VPN并发接入授权以及50个移动应用发布并发接入授权，提供10个用于认证的USB key。</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3、支持网关模式、单臂模式部署两种方式。</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4、支持对基于HTTP、HTTPS、FileShare、DNS、H.323、SMTP、POP3、Telnet、SSH等的所有B/S、C/S应用系统，支持基于TCP、UDP、ICMP等IP层以上的协议的应用，例如即时通讯、视频、语音、Ping等服务。</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5、支持PC终端使用包括Windows8、Windows7、Windows Vista、Windows xp、Mac OS、Linux等主流操作系统来登录SSLVPN系统。</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#6、支持终端使用包括IE6、7、8、10、11或其他IE内核的浏览器，以及最新版本的非IE内核浏览器，如Windows EDGE，Google Chrome，Firefox，Safari，Opera最新版登录SSLVPN系统，登录后可完整支持各种IP层以上的B/S和C/S应用。（提供截图证明，加盖厂商公章）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#7、支持IOS、Android等操作系统的智能手机、PDA、平板电脑（PAD）等移动终端的SSL VPN接入。</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8、产品可扩展支持中国国家标准的商用密码算法（简称“国密”），包括：SM1（含SCB2），SM2、SM3、SM4。</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9、支持单点登录功能（SSO）,支持移动用户登录VPN后再登录内部B/S、C/S应用系统时不需要二次重复认证。支持针对B/S单点登录用户名密码加密传输，保证安全；支持针对不同的访问资源设定不同的SSO用户名和密码，支持</w:t>
            </w:r>
            <w:r w:rsidRPr="00E67810">
              <w:rPr>
                <w:rFonts w:asciiTheme="minorEastAsia" w:eastAsiaTheme="minorEastAsia" w:hAnsiTheme="minorEastAsia" w:hint="eastAsia"/>
                <w:bCs/>
                <w:szCs w:val="21"/>
              </w:rPr>
              <w:lastRenderedPageBreak/>
              <w:t>用户自行修改SSO账号。</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10、支持断线重连自动技术，防止用户误操作关闭浏览器导致VPN隧道断开；防止用户在无线网络环境下网络正常切换时VPN隧道断开。</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11、支持启用多线路时，自动检测故障线路，并自动踢出故障线路；一旦线路恢复，可在一定时间内自动恢复。支持启用多线路时，自定义用户访问选路策略，包括按上/下行带宽，轮询，按优先级等方式。</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12、支持针对不同的web页面进行数据优化，支持动态压缩技术，基于数据流进行压缩，减少不必要的数据传输。</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#13、产品必须支持防中间人攻击，产品可在用户登录SSLVPN时智能判断存在中间人攻击行为，断开被攻击的连接，并可提示异常现象。（可提供证明材料，加盖厂商公章）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#14、支持针对移动APP的VPN安全代码的自动封装，实现App应用的安全加固。（提供界面配置截图，加盖厂商公章）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#15、产品必须在Windows和MAC操作系统下支持远程应用发布功能。（提供界面截图证明，加盖厂商公章）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16、远程应用发布数据传输过程中使用SSLVPN协议加密，加密算法支持中国家标准的商用密码算法，保证了数据传输的合法性和安全性。</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17、支持改写WindowsRDP协议，经改写的协议必须独立于OS运行环境，避免跨平台兼容性，针对图像数据，服务端必须支持有损压缩算法。服务端必须能够支持过滤动态内容（gif/flash/video）以减少传输流量，且根据需要配置。（提供界面截图证明，加盖厂商公章）</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18、支持系统实时监控，图形化显示一段时间内的运行状况，可查看CPU占用率、各条线路网络吞吐量、各条线路的IP地址及发送接收流速、并发会话数、SSL并发用户数；可查看历史最高并发用户数并显示时间记录；可实时查看SSL接入用户的用户名、发送流速、接收流速、发送流量、接收流量、接入时间、并发会话数、接入IP、虚拟IP、认证方式等信息，并可在线中断指定用户。</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19、支持独立日志中心进行SSLVPN实时日志记录，可详细记录用户访问资源记录（用户、主机IP、资源、时间）、管理员日志（管理员、主机IP、时间、管理行为、对象）、系统日志、告警日志。</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20、支持Syslog（系统日志）服务器，可将管理员日志，系统日志、用户日志输出到syslog服务器中。</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lastRenderedPageBreak/>
              <w:t>#21、支持整体网关配置的本地及远程备份、恢复功能；支持SSLVPN配置的单独备份、恢复功能。</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22、提供公安部信息安全产品检测中心颁发的《GA/T 686-2007信息安全技术 虚拟专用网安全技术要求》三级或三级以上检测报告（三级以上为四级、五级）。</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23、提供中华人民共和国公安部颁发的《</w:t>
            </w:r>
            <w:bookmarkStart w:id="19" w:name="OLE_LINK1"/>
            <w:r w:rsidRPr="00E67810">
              <w:rPr>
                <w:rFonts w:asciiTheme="minorEastAsia" w:eastAsiaTheme="minorEastAsia" w:hAnsiTheme="minorEastAsia" w:hint="eastAsia"/>
                <w:bCs/>
                <w:szCs w:val="21"/>
              </w:rPr>
              <w:t>计算机信息系统安全专用产品销售许可证</w:t>
            </w:r>
            <w:bookmarkEnd w:id="19"/>
            <w:r w:rsidRPr="00E67810">
              <w:rPr>
                <w:rFonts w:asciiTheme="minorEastAsia" w:eastAsiaTheme="minorEastAsia" w:hAnsiTheme="minorEastAsia" w:hint="eastAsia"/>
                <w:bCs/>
                <w:szCs w:val="21"/>
              </w:rPr>
              <w:t>》。</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24、要求提供不低于5年免费硬件质保、5年系统版本的升级。</w:t>
            </w:r>
          </w:p>
        </w:tc>
      </w:tr>
      <w:tr w:rsidR="00774F55" w:rsidRPr="00E67810" w:rsidTr="00AA50FB">
        <w:trPr>
          <w:trHeight w:val="1958"/>
        </w:trPr>
        <w:tc>
          <w:tcPr>
            <w:tcW w:w="713"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lastRenderedPageBreak/>
              <w:t>3</w:t>
            </w:r>
          </w:p>
        </w:tc>
        <w:tc>
          <w:tcPr>
            <w:tcW w:w="1050"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t>磁盘管理组件(数据中心运维系统扩展)</w:t>
            </w:r>
          </w:p>
        </w:tc>
        <w:tc>
          <w:tcPr>
            <w:tcW w:w="7134" w:type="dxa"/>
            <w:vAlign w:val="center"/>
          </w:tcPr>
          <w:p w:rsidR="00774F55" w:rsidRPr="00E67810" w:rsidRDefault="00774F55" w:rsidP="00AA50FB">
            <w:pPr>
              <w:snapToGrid w:val="0"/>
              <w:spacing w:line="440" w:lineRule="exact"/>
              <w:jc w:val="left"/>
              <w:rPr>
                <w:rFonts w:asciiTheme="minorEastAsia" w:eastAsiaTheme="minorEastAsia" w:hAnsiTheme="minorEastAsia" w:cs="宋体"/>
                <w:bCs/>
                <w:szCs w:val="21"/>
              </w:rPr>
            </w:pPr>
            <w:r w:rsidRPr="00E67810">
              <w:rPr>
                <w:rFonts w:asciiTheme="minorEastAsia" w:eastAsiaTheme="minorEastAsia" w:hAnsiTheme="minorEastAsia" w:cs="宋体" w:hint="eastAsia"/>
                <w:bCs/>
                <w:szCs w:val="21"/>
              </w:rPr>
              <w:t>*1、配置规模要求：存储设备数量≥8个</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，不限制磁盘数，完全基于B/S架构（监视及管理），中文界面，风格友好，操作简便。</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2、采用JAVA架构开发，可运行在Windows、Linux平台上。</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*3、可管理SAN交换机,包括Brocade，McDAta，EMC，Cisco，HP，IBM等厂商。</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*4、可管理RAID，包括Hitachi，NetApp，LSI，StorageTek，Accordance等厂商。</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5、可管理磁带库，包括ADIC，StorageTek，Quantum，Tandberg，Sun StorEdge等厂商。</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*6、可管理HBA,包括Qlogix,Emulex等厂商。</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7、可管理主机,包括Windows,Linux,IBM-AIX</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8、能够自动发现网络中的存储设备。</w:t>
            </w:r>
          </w:p>
          <w:p w:rsidR="00774F55" w:rsidRPr="00E67810" w:rsidRDefault="00774F55" w:rsidP="00AA50FB">
            <w:pPr>
              <w:spacing w:line="440" w:lineRule="exact"/>
              <w:jc w:val="left"/>
              <w:rPr>
                <w:rFonts w:asciiTheme="minorEastAsia" w:eastAsiaTheme="minorEastAsia" w:hAnsiTheme="minorEastAsia" w:cs="宋体"/>
                <w:bCs/>
                <w:szCs w:val="21"/>
              </w:rPr>
            </w:pPr>
            <w:r w:rsidRPr="00E67810">
              <w:rPr>
                <w:rFonts w:asciiTheme="minorEastAsia" w:eastAsiaTheme="minorEastAsia" w:hAnsiTheme="minorEastAsia" w:hint="eastAsia"/>
                <w:bCs/>
                <w:szCs w:val="21"/>
              </w:rPr>
              <w:t>#9、通过拓扑图显示了整个存储网络，设备及其相互关系；通过不同的颜色显示设备和链接的状态；深入分析视图能呈现子图和设备明细。</w:t>
            </w:r>
            <w:r w:rsidRPr="00E67810">
              <w:rPr>
                <w:rFonts w:asciiTheme="minorEastAsia" w:eastAsiaTheme="minorEastAsia" w:hAnsiTheme="minorEastAsia" w:cs="宋体" w:hint="eastAsia"/>
                <w:bCs/>
                <w:szCs w:val="21"/>
              </w:rPr>
              <w:t>（提供截图加盖原厂鲜章）</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#10、能随时更新包含所有设备属性的资产清单；用户还可以输入一些诸如支持消息的附加字段。</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#11、提供设备可用性和性能的实时报表。</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*12、提供包含告警、厂商、故障单等信息。</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*13、通过报表识别那些使用过度或利用不足的设备元素。</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#14、报表可以保存为PDF格式或者打印出来用于参考。</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#15、捕捉传感器故障，涉及电源、温度、风扇、电池等。</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lastRenderedPageBreak/>
              <w:t>*16、捕捉状态变化通知。</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#17、对于故障可以指派所有者、添加注释、清除故障、或者删除某个故障。</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#18、基于自定义规则通过Email或SMS向管理员报告警报。</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cs="宋体" w:hint="eastAsia"/>
                <w:bCs/>
                <w:szCs w:val="21"/>
              </w:rPr>
              <w:t>#19、能够与现有监控运维平台进行无缝对接</w:t>
            </w:r>
            <w:r w:rsidRPr="00E67810">
              <w:rPr>
                <w:rFonts w:asciiTheme="minorEastAsia" w:eastAsiaTheme="minorEastAsia" w:hAnsiTheme="minorEastAsia" w:hint="eastAsia"/>
                <w:bCs/>
                <w:szCs w:val="21"/>
              </w:rPr>
              <w:t>。</w:t>
            </w:r>
          </w:p>
          <w:p w:rsidR="00774F55" w:rsidRPr="00E67810" w:rsidRDefault="00774F55" w:rsidP="00774F55">
            <w:pPr>
              <w:numPr>
                <w:ilvl w:val="0"/>
                <w:numId w:val="12"/>
              </w:num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要求提供不低于1年的免费原厂服务，提供软件模块、系统、相关文件、数据库、资源库的升级。</w:t>
            </w:r>
          </w:p>
          <w:p w:rsidR="00774F55" w:rsidRPr="00E67810" w:rsidRDefault="00774F55" w:rsidP="00AA50FB">
            <w:pPr>
              <w:numPr>
                <w:ilvl w:val="255"/>
                <w:numId w:val="0"/>
              </w:num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#21、</w:t>
            </w:r>
            <w:r w:rsidRPr="00E67810">
              <w:rPr>
                <w:rFonts w:asciiTheme="minorEastAsia" w:eastAsiaTheme="minorEastAsia" w:hAnsiTheme="minorEastAsia" w:cs="宋体" w:hint="eastAsia"/>
                <w:szCs w:val="21"/>
              </w:rPr>
              <w:t>要求厂商具有经济和信息化委员会颁发的软件企业认定证书；</w:t>
            </w:r>
          </w:p>
          <w:p w:rsidR="00774F55" w:rsidRPr="00E67810" w:rsidRDefault="00774F55" w:rsidP="00AA50FB">
            <w:pPr>
              <w:numPr>
                <w:ilvl w:val="255"/>
                <w:numId w:val="0"/>
              </w:num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#22、</w:t>
            </w:r>
            <w:r w:rsidRPr="00E67810">
              <w:rPr>
                <w:rFonts w:asciiTheme="minorEastAsia" w:eastAsiaTheme="minorEastAsia" w:hAnsiTheme="minorEastAsia" w:cs="宋体" w:hint="eastAsia"/>
                <w:szCs w:val="21"/>
              </w:rPr>
              <w:t>投标产品具有国家版权局颁发的软件著作权登记证书。</w:t>
            </w:r>
          </w:p>
        </w:tc>
      </w:tr>
      <w:tr w:rsidR="00774F55" w:rsidRPr="00E67810" w:rsidTr="00AA50FB">
        <w:trPr>
          <w:trHeight w:val="349"/>
        </w:trPr>
        <w:tc>
          <w:tcPr>
            <w:tcW w:w="713"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lastRenderedPageBreak/>
              <w:t>4</w:t>
            </w:r>
          </w:p>
        </w:tc>
        <w:tc>
          <w:tcPr>
            <w:tcW w:w="1050" w:type="dxa"/>
            <w:vAlign w:val="center"/>
          </w:tcPr>
          <w:p w:rsidR="00774F55" w:rsidRPr="00E67810" w:rsidRDefault="00774F55" w:rsidP="00AA50FB">
            <w:pPr>
              <w:spacing w:line="440" w:lineRule="exact"/>
              <w:jc w:val="center"/>
              <w:rPr>
                <w:rFonts w:asciiTheme="minorEastAsia" w:eastAsiaTheme="minorEastAsia" w:hAnsiTheme="minorEastAsia"/>
                <w:b/>
                <w:szCs w:val="21"/>
              </w:rPr>
            </w:pPr>
            <w:r w:rsidRPr="00E67810">
              <w:rPr>
                <w:rFonts w:asciiTheme="minorEastAsia" w:eastAsiaTheme="minorEastAsia" w:hAnsiTheme="minorEastAsia" w:hint="eastAsia"/>
                <w:b/>
                <w:szCs w:val="21"/>
              </w:rPr>
              <w:t>AD域管理组件(数据中心运维系统扩展)</w:t>
            </w:r>
          </w:p>
        </w:tc>
        <w:tc>
          <w:tcPr>
            <w:tcW w:w="7134" w:type="dxa"/>
            <w:vAlign w:val="center"/>
          </w:tcPr>
          <w:p w:rsidR="00774F55" w:rsidRPr="00E67810" w:rsidRDefault="00774F55" w:rsidP="00774F55">
            <w:pPr>
              <w:numPr>
                <w:ilvl w:val="0"/>
                <w:numId w:val="13"/>
              </w:num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简化重复性、繁琐复杂的AD域管理工作，满足SOX、HIPAA等合规性审计需求。</w:t>
            </w:r>
          </w:p>
          <w:p w:rsidR="00774F55" w:rsidRPr="00E67810" w:rsidRDefault="00774F55" w:rsidP="00AA50FB">
            <w:p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cs="宋体" w:hint="eastAsia"/>
                <w:bCs/>
                <w:szCs w:val="21"/>
              </w:rPr>
              <w:t>*2、要求与存储管理必须为同一厂商产品。</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*3、本次授权支持域数量不少于4个域帐号控制服务器。</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4、采用JAVA架构开发,完全基于B/S架构（监视及管理），</w:t>
            </w:r>
            <w:r w:rsidRPr="00E67810">
              <w:rPr>
                <w:rFonts w:asciiTheme="minorEastAsia" w:eastAsiaTheme="minorEastAsia" w:hAnsiTheme="minorEastAsia" w:cs="宋体" w:hint="eastAsia"/>
                <w:bCs/>
                <w:szCs w:val="21"/>
              </w:rPr>
              <w:t>能通过HTTP和HTTPS进行访问。、批量编辑终端服务主文件夹、路径、启动程序、会话时间和远程设置，</w:t>
            </w:r>
            <w:r w:rsidRPr="00E67810">
              <w:rPr>
                <w:rFonts w:asciiTheme="minorEastAsia" w:eastAsiaTheme="minorEastAsia" w:hAnsiTheme="minorEastAsia" w:hint="eastAsia"/>
                <w:bCs/>
                <w:szCs w:val="21"/>
              </w:rPr>
              <w:t>可运行在Windows平台上（含32/64位）。</w:t>
            </w:r>
          </w:p>
          <w:p w:rsidR="00774F55" w:rsidRPr="00E67810" w:rsidRDefault="00774F55" w:rsidP="00AA50FB">
            <w:pPr>
              <w:snapToGrid w:val="0"/>
              <w:spacing w:line="440" w:lineRule="exact"/>
              <w:jc w:val="left"/>
              <w:rPr>
                <w:rFonts w:asciiTheme="minorEastAsia" w:eastAsiaTheme="minorEastAsia" w:hAnsiTheme="minorEastAsia" w:cs="宋体"/>
                <w:bCs/>
                <w:szCs w:val="21"/>
              </w:rPr>
            </w:pPr>
            <w:r w:rsidRPr="00E67810">
              <w:rPr>
                <w:rFonts w:asciiTheme="minorEastAsia" w:eastAsiaTheme="minorEastAsia" w:hAnsiTheme="minorEastAsia" w:hint="eastAsia"/>
                <w:bCs/>
                <w:szCs w:val="21"/>
              </w:rPr>
              <w:t>#5、</w:t>
            </w:r>
            <w:r w:rsidRPr="00E67810">
              <w:rPr>
                <w:rFonts w:asciiTheme="minorEastAsia" w:eastAsiaTheme="minorEastAsia" w:hAnsiTheme="minorEastAsia" w:cs="宋体" w:hint="eastAsia"/>
                <w:bCs/>
                <w:szCs w:val="21"/>
              </w:rPr>
              <w:t>通过批量创建和编辑用户帐户，指派管理权限等，简化Windows AD域的管理。（提供截图加盖原厂鲜章）</w:t>
            </w:r>
          </w:p>
          <w:p w:rsidR="00774F55" w:rsidRPr="00E67810" w:rsidRDefault="00774F55" w:rsidP="00AA50FB">
            <w:pPr>
              <w:snapToGrid w:val="0"/>
              <w:spacing w:line="440" w:lineRule="exact"/>
              <w:jc w:val="left"/>
              <w:rPr>
                <w:rFonts w:asciiTheme="minorEastAsia" w:eastAsiaTheme="minorEastAsia" w:hAnsiTheme="minorEastAsia" w:cs="宋体"/>
                <w:bCs/>
                <w:szCs w:val="21"/>
              </w:rPr>
            </w:pPr>
            <w:r w:rsidRPr="00E67810">
              <w:rPr>
                <w:rFonts w:asciiTheme="minorEastAsia" w:eastAsiaTheme="minorEastAsia" w:hAnsiTheme="minorEastAsia" w:cs="宋体" w:hint="eastAsia"/>
                <w:bCs/>
                <w:szCs w:val="21"/>
              </w:rPr>
              <w:t>#6、重置多个用户帐户的密码、配置密码策略、启用/禁用密码过期的用户。（提供截图加盖原厂鲜章）</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*7、支持技术员指派基于角色的访问权限，单个或批量创建、管理和删除用户帐户和AD对象。</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8、丰富的报表，满足合规性审计的需求。</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#9、可作为Windows服务运行。</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#10、要求可以通过手机App管理AD域用户。</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*11、按照不同的需求为用户定制专有的模板，减少创建用户时的麻烦，节省管理时间。</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12、可通过CSV文件导入方式创建修改用户。</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13、对用户的命名、组、联系属性自定义设置。</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14、支持自定义用户属性。</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15、支持自定义标题、部门、公司等信息。</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16、支持设置用户的dial-in和VPN以及允许登录的终端。</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lastRenderedPageBreak/>
              <w:t>17、支持修改用户组的Exchange属性。</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18、支持设置终端服务，为用户编辑终端服务主文件夹和配置文件路径，从终端服务登录的用户编辑启动程序，修改会话持续时间、活动会话限制、空闲会话限制等，启用/禁用远程控制属性。</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19、在组中批量添加/移除计算机。</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20、批量设置计算机的属性，如：描述、位置等。</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21、批量启用禁用计算机。</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22、在组织单元间批量移动计算机。</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23、管理员可以通过从CSV文件导入，批量创建联系人。从而无需使用命令工具逐个创建联系人，更加简单灵活地管理联系人。</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24、用户报表：有以下特征：基于web的用户界面，完全可定制，及时更新/编辑选项，计划报表，直观的图表格式，对指定OU生成报表，报表可导出CSV, Excel, PDF, HTML, CSVDE多种格式。</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*25、密码报表：密码报表提供有关无效登录的用户、密码过期的用户、密码即将过期的用户、密码过期时间、无法更改密码的用户、不应该更改密码的用户等信息。</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#26、用户登录报表：提供活动目录用户帐户的登录信息，即用户登录的Windows网络的日期和时间。</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27、NTFS报表：文件夹和文件和其属性的访问权限，生成直观的报表，帮助管理员清楚了解环境中文件级安全设置。</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28、组报表：管理员可以查看安全组、分发组、对象数量最多的组等。</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29、计算机报表：自动执行AD域管理任务和生成报表，为管理员提供有关域中计算机的全面信息，如：不活动的计算机、禁用的计算机、域控制器、工作站、允许委派的计算机、基于操作系统的报表、最近更改的计算机。</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30、不活动/禁用帐户报表：不活动用户的报表提供一段时间内未登录的用户列表，禁用用户报表提供所有被AD管理员禁用的用户帐户。</w:t>
            </w:r>
          </w:p>
          <w:p w:rsidR="00774F55" w:rsidRPr="00E67810" w:rsidRDefault="00774F55" w:rsidP="00AA50FB">
            <w:pPr>
              <w:spacing w:line="440" w:lineRule="exact"/>
              <w:jc w:val="left"/>
              <w:rPr>
                <w:rFonts w:asciiTheme="minorEastAsia" w:eastAsiaTheme="minorEastAsia" w:hAnsiTheme="minorEastAsia"/>
                <w:bCs/>
                <w:szCs w:val="21"/>
              </w:rPr>
            </w:pPr>
            <w:r w:rsidRPr="00E67810">
              <w:rPr>
                <w:rFonts w:asciiTheme="minorEastAsia" w:eastAsiaTheme="minorEastAsia" w:hAnsiTheme="minorEastAsia" w:cs="宋体" w:hint="eastAsia"/>
                <w:bCs/>
                <w:szCs w:val="21"/>
              </w:rPr>
              <w:t>#31、能够与现有监控运维平台进行无缝对接。</w:t>
            </w:r>
          </w:p>
          <w:p w:rsidR="00774F55" w:rsidRPr="00E67810" w:rsidRDefault="00774F55" w:rsidP="00774F55">
            <w:pPr>
              <w:numPr>
                <w:ilvl w:val="0"/>
                <w:numId w:val="14"/>
              </w:num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要求提供不低于1年的免费原厂服务，提供软件模块、系统、相关文件、数据库、资源库的升级。</w:t>
            </w:r>
          </w:p>
          <w:p w:rsidR="00774F55" w:rsidRPr="00E67810" w:rsidRDefault="00774F55" w:rsidP="00AA50FB">
            <w:pPr>
              <w:numPr>
                <w:ilvl w:val="255"/>
                <w:numId w:val="0"/>
              </w:num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#33、</w:t>
            </w:r>
            <w:r w:rsidRPr="00E67810">
              <w:rPr>
                <w:rFonts w:asciiTheme="minorEastAsia" w:eastAsiaTheme="minorEastAsia" w:hAnsiTheme="minorEastAsia" w:cs="宋体" w:hint="eastAsia"/>
                <w:szCs w:val="21"/>
              </w:rPr>
              <w:t>要求厂商具有经济和信息化委员会颁发的软件企业认定证书；</w:t>
            </w:r>
          </w:p>
          <w:p w:rsidR="00774F55" w:rsidRPr="00E67810" w:rsidRDefault="00774F55" w:rsidP="00AA50FB">
            <w:pPr>
              <w:numPr>
                <w:ilvl w:val="255"/>
                <w:numId w:val="0"/>
              </w:numPr>
              <w:snapToGrid w:val="0"/>
              <w:spacing w:line="440" w:lineRule="exact"/>
              <w:jc w:val="left"/>
              <w:rPr>
                <w:rFonts w:asciiTheme="minorEastAsia" w:eastAsiaTheme="minorEastAsia" w:hAnsiTheme="minorEastAsia"/>
                <w:bCs/>
                <w:szCs w:val="21"/>
              </w:rPr>
            </w:pPr>
            <w:r w:rsidRPr="00E67810">
              <w:rPr>
                <w:rFonts w:asciiTheme="minorEastAsia" w:eastAsiaTheme="minorEastAsia" w:hAnsiTheme="minorEastAsia" w:hint="eastAsia"/>
                <w:bCs/>
                <w:szCs w:val="21"/>
              </w:rPr>
              <w:t>#34、</w:t>
            </w:r>
            <w:r w:rsidRPr="00E67810">
              <w:rPr>
                <w:rFonts w:asciiTheme="minorEastAsia" w:eastAsiaTheme="minorEastAsia" w:hAnsiTheme="minorEastAsia" w:cs="宋体" w:hint="eastAsia"/>
                <w:szCs w:val="21"/>
              </w:rPr>
              <w:t>投标产品具有国家版权局颁发的软件著作权登记证书。</w:t>
            </w:r>
          </w:p>
        </w:tc>
      </w:tr>
    </w:tbl>
    <w:p w:rsidR="00774F55" w:rsidRPr="00E67810" w:rsidRDefault="00774F55" w:rsidP="00774F55">
      <w:pPr>
        <w:pStyle w:val="2"/>
        <w:spacing w:line="440" w:lineRule="exact"/>
        <w:rPr>
          <w:szCs w:val="21"/>
        </w:rPr>
      </w:pPr>
      <w:r w:rsidRPr="00E67810">
        <w:rPr>
          <w:rFonts w:cs="宋体" w:hint="eastAsia"/>
          <w:szCs w:val="21"/>
        </w:rPr>
        <w:lastRenderedPageBreak/>
        <w:t>★</w:t>
      </w:r>
      <w:r w:rsidRPr="00E67810">
        <w:rPr>
          <w:szCs w:val="21"/>
        </w:rPr>
        <w:t>项目履约时间</w:t>
      </w:r>
      <w:r w:rsidRPr="00E67810">
        <w:rPr>
          <w:rFonts w:hint="eastAsia"/>
          <w:szCs w:val="21"/>
        </w:rPr>
        <w:t>、</w:t>
      </w:r>
      <w:r w:rsidRPr="00E67810">
        <w:rPr>
          <w:szCs w:val="21"/>
        </w:rPr>
        <w:t>地点</w:t>
      </w:r>
      <w:bookmarkEnd w:id="18"/>
      <w:r w:rsidRPr="00E67810">
        <w:rPr>
          <w:rFonts w:hint="eastAsia"/>
          <w:szCs w:val="21"/>
        </w:rPr>
        <w:t>：</w:t>
      </w:r>
    </w:p>
    <w:p w:rsidR="00774F55" w:rsidRPr="00E67810" w:rsidRDefault="00774F55" w:rsidP="00774F55">
      <w:pPr>
        <w:spacing w:line="440" w:lineRule="exact"/>
        <w:rPr>
          <w:szCs w:val="21"/>
        </w:rPr>
      </w:pPr>
      <w:r w:rsidRPr="00E67810">
        <w:rPr>
          <w:rFonts w:hint="eastAsia"/>
          <w:szCs w:val="21"/>
        </w:rPr>
        <w:t>履约时间：合同签订后</w:t>
      </w:r>
      <w:r w:rsidRPr="00E67810">
        <w:rPr>
          <w:rFonts w:hint="eastAsia"/>
          <w:szCs w:val="21"/>
        </w:rPr>
        <w:t>30</w:t>
      </w:r>
      <w:r w:rsidRPr="00E67810">
        <w:rPr>
          <w:rFonts w:hint="eastAsia"/>
          <w:szCs w:val="21"/>
        </w:rPr>
        <w:t>天交货；</w:t>
      </w:r>
    </w:p>
    <w:p w:rsidR="00774F55" w:rsidRPr="00E67810" w:rsidRDefault="00774F55" w:rsidP="00774F55">
      <w:pPr>
        <w:spacing w:line="440" w:lineRule="exact"/>
        <w:rPr>
          <w:rFonts w:ascii="宋体"/>
          <w:szCs w:val="21"/>
        </w:rPr>
      </w:pPr>
      <w:r w:rsidRPr="00E67810">
        <w:rPr>
          <w:rFonts w:hint="eastAsia"/>
          <w:szCs w:val="21"/>
        </w:rPr>
        <w:t>履约地点：西南交通大学犀浦校区信息化与网络管理处。</w:t>
      </w:r>
    </w:p>
    <w:p w:rsidR="00774F55" w:rsidRPr="00E67810" w:rsidRDefault="00774F55" w:rsidP="00774F55">
      <w:pPr>
        <w:pStyle w:val="2"/>
        <w:spacing w:line="440" w:lineRule="exact"/>
        <w:rPr>
          <w:sz w:val="21"/>
          <w:szCs w:val="21"/>
        </w:rPr>
      </w:pPr>
      <w:bookmarkStart w:id="20" w:name="_Toc417566437"/>
      <w:bookmarkStart w:id="21" w:name="_Toc477248553"/>
      <w:r w:rsidRPr="00E67810">
        <w:rPr>
          <w:rFonts w:hint="eastAsia"/>
          <w:sz w:val="21"/>
          <w:szCs w:val="21"/>
        </w:rPr>
        <w:t>★付款方式</w:t>
      </w:r>
      <w:bookmarkEnd w:id="20"/>
      <w:bookmarkEnd w:id="21"/>
    </w:p>
    <w:p w:rsidR="00774F55" w:rsidRPr="00E67810" w:rsidRDefault="00774F55" w:rsidP="00774F55">
      <w:pPr>
        <w:spacing w:line="440" w:lineRule="exact"/>
        <w:ind w:firstLineChars="200" w:firstLine="420"/>
        <w:rPr>
          <w:szCs w:val="21"/>
        </w:rPr>
      </w:pPr>
      <w:bookmarkStart w:id="22" w:name="_Toc417566438"/>
      <w:r w:rsidRPr="00E67810">
        <w:rPr>
          <w:szCs w:val="21"/>
        </w:rPr>
        <w:t>1.</w:t>
      </w:r>
      <w:r w:rsidRPr="00E67810">
        <w:rPr>
          <w:szCs w:val="21"/>
        </w:rPr>
        <w:t>分期付款，第一期，合同签署后支付</w:t>
      </w:r>
      <w:r w:rsidRPr="00E67810">
        <w:rPr>
          <w:rFonts w:hint="eastAsia"/>
          <w:szCs w:val="21"/>
        </w:rPr>
        <w:t>合同</w:t>
      </w:r>
      <w:r w:rsidRPr="00E67810">
        <w:rPr>
          <w:szCs w:val="21"/>
        </w:rPr>
        <w:t>总额的</w:t>
      </w:r>
      <w:r w:rsidRPr="00E67810">
        <w:rPr>
          <w:szCs w:val="21"/>
        </w:rPr>
        <w:t>60%</w:t>
      </w:r>
      <w:r w:rsidRPr="00E67810">
        <w:rPr>
          <w:szCs w:val="21"/>
        </w:rPr>
        <w:t>；第二期，货到验收合格，在中标人支付招标人</w:t>
      </w:r>
      <w:r w:rsidRPr="00E67810">
        <w:rPr>
          <w:szCs w:val="21"/>
        </w:rPr>
        <w:t>5%</w:t>
      </w:r>
      <w:r w:rsidRPr="00E67810">
        <w:rPr>
          <w:szCs w:val="21"/>
        </w:rPr>
        <w:t>的质保金后十个工作日内，招标人支付合同总额的</w:t>
      </w:r>
      <w:r w:rsidRPr="00E67810">
        <w:rPr>
          <w:szCs w:val="21"/>
        </w:rPr>
        <w:t>40%</w:t>
      </w:r>
      <w:r w:rsidRPr="00E67810">
        <w:rPr>
          <w:szCs w:val="21"/>
        </w:rPr>
        <w:t>；第三期，正常运行</w:t>
      </w:r>
      <w:r w:rsidRPr="00E67810">
        <w:rPr>
          <w:rFonts w:hint="eastAsia"/>
          <w:szCs w:val="21"/>
        </w:rPr>
        <w:t>一</w:t>
      </w:r>
      <w:r w:rsidRPr="00E67810">
        <w:rPr>
          <w:szCs w:val="21"/>
        </w:rPr>
        <w:t>年后</w:t>
      </w:r>
      <w:r w:rsidRPr="00E67810">
        <w:rPr>
          <w:rFonts w:hint="eastAsia"/>
          <w:szCs w:val="21"/>
        </w:rPr>
        <w:t>退还</w:t>
      </w:r>
      <w:r w:rsidRPr="00E67810">
        <w:rPr>
          <w:szCs w:val="21"/>
        </w:rPr>
        <w:t>质保金；</w:t>
      </w:r>
    </w:p>
    <w:p w:rsidR="00774F55" w:rsidRPr="00E67810" w:rsidRDefault="00774F55" w:rsidP="00774F55">
      <w:pPr>
        <w:spacing w:line="440" w:lineRule="exact"/>
        <w:ind w:firstLineChars="200" w:firstLine="420"/>
        <w:rPr>
          <w:szCs w:val="21"/>
        </w:rPr>
      </w:pPr>
      <w:r w:rsidRPr="00E67810">
        <w:rPr>
          <w:szCs w:val="21"/>
        </w:rPr>
        <w:t>2.</w:t>
      </w:r>
      <w:r w:rsidRPr="00E67810">
        <w:rPr>
          <w:rFonts w:hint="eastAsia"/>
          <w:szCs w:val="21"/>
        </w:rPr>
        <w:t>成交人</w:t>
      </w:r>
      <w:r w:rsidRPr="00E67810">
        <w:rPr>
          <w:szCs w:val="21"/>
        </w:rPr>
        <w:t>需提供增值税专用发票。</w:t>
      </w:r>
    </w:p>
    <w:p w:rsidR="00774F55" w:rsidRPr="00E67810" w:rsidRDefault="00774F55" w:rsidP="00774F55">
      <w:pPr>
        <w:pStyle w:val="2"/>
        <w:spacing w:line="440" w:lineRule="exact"/>
        <w:rPr>
          <w:sz w:val="21"/>
          <w:szCs w:val="21"/>
        </w:rPr>
      </w:pPr>
      <w:bookmarkStart w:id="23" w:name="_Toc477248554"/>
      <w:bookmarkEnd w:id="22"/>
      <w:r w:rsidRPr="00E67810">
        <w:rPr>
          <w:rFonts w:hint="eastAsia"/>
          <w:sz w:val="21"/>
          <w:szCs w:val="21"/>
        </w:rPr>
        <w:t>服务要求</w:t>
      </w:r>
      <w:bookmarkEnd w:id="23"/>
    </w:p>
    <w:p w:rsidR="00774F55" w:rsidRPr="00E67810" w:rsidRDefault="00774F55" w:rsidP="00774F55">
      <w:pPr>
        <w:pStyle w:val="a6"/>
        <w:rPr>
          <w:rFonts w:ascii="宋体" w:hAnsi="Courier New"/>
          <w:szCs w:val="21"/>
        </w:rPr>
      </w:pPr>
      <w:r w:rsidRPr="00E67810">
        <w:rPr>
          <w:rFonts w:hint="eastAsia"/>
          <w:sz w:val="21"/>
          <w:szCs w:val="21"/>
        </w:rPr>
        <w:t>重要性分为“</w:t>
      </w:r>
      <w:r w:rsidRPr="00E67810">
        <w:rPr>
          <w:rFonts w:ascii="宋体" w:hAnsi="宋体" w:cs="宋体" w:hint="eastAsia"/>
          <w:sz w:val="21"/>
          <w:szCs w:val="21"/>
        </w:rPr>
        <w:t>★</w:t>
      </w:r>
      <w:r w:rsidRPr="00E67810">
        <w:rPr>
          <w:rFonts w:hint="eastAsia"/>
          <w:sz w:val="21"/>
          <w:szCs w:val="21"/>
        </w:rPr>
        <w:t>”和一般无标示指标。</w:t>
      </w:r>
      <w:r w:rsidRPr="00E67810">
        <w:rPr>
          <w:rFonts w:ascii="宋体" w:hAnsi="宋体" w:cs="宋体" w:hint="eastAsia"/>
          <w:sz w:val="21"/>
          <w:szCs w:val="21"/>
        </w:rPr>
        <w:t>★代表最关键指标，不满足该指标项将导致投标被</w:t>
      </w:r>
      <w:r w:rsidRPr="00E67810">
        <w:rPr>
          <w:rFonts w:ascii="宋体" w:hAnsi="宋体" w:cs="宋体" w:hint="eastAsia"/>
          <w:b/>
          <w:sz w:val="21"/>
          <w:szCs w:val="21"/>
        </w:rPr>
        <w:t>拒绝</w:t>
      </w:r>
      <w:r w:rsidRPr="00E67810">
        <w:rPr>
          <w:rFonts w:ascii="宋体" w:hAnsi="宋体" w:cs="宋体" w:hint="eastAsia"/>
          <w:sz w:val="21"/>
          <w:szCs w:val="21"/>
        </w:rPr>
        <w:t>，无标识则表示一般指标项。</w:t>
      </w:r>
    </w:p>
    <w:tbl>
      <w:tblPr>
        <w:tblW w:w="9004" w:type="dxa"/>
        <w:tblLayout w:type="fixed"/>
        <w:tblLook w:val="04A0" w:firstRow="1" w:lastRow="0" w:firstColumn="1" w:lastColumn="0" w:noHBand="0" w:noVBand="1"/>
      </w:tblPr>
      <w:tblGrid>
        <w:gridCol w:w="646"/>
        <w:gridCol w:w="1857"/>
        <w:gridCol w:w="814"/>
        <w:gridCol w:w="5687"/>
      </w:tblGrid>
      <w:tr w:rsidR="00774F55" w:rsidRPr="00E67810" w:rsidTr="00AA50FB">
        <w:trPr>
          <w:trHeight w:val="27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序号</w:t>
            </w:r>
          </w:p>
        </w:tc>
        <w:tc>
          <w:tcPr>
            <w:tcW w:w="1857" w:type="dxa"/>
            <w:tcBorders>
              <w:top w:val="single" w:sz="4" w:space="0" w:color="auto"/>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服务要求项目</w:t>
            </w:r>
          </w:p>
        </w:tc>
        <w:tc>
          <w:tcPr>
            <w:tcW w:w="814" w:type="dxa"/>
            <w:tcBorders>
              <w:top w:val="single" w:sz="4" w:space="0" w:color="auto"/>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重要性</w:t>
            </w:r>
          </w:p>
        </w:tc>
        <w:tc>
          <w:tcPr>
            <w:tcW w:w="5687" w:type="dxa"/>
            <w:tcBorders>
              <w:top w:val="single" w:sz="4" w:space="0" w:color="auto"/>
              <w:left w:val="nil"/>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宋体" w:hAnsi="宋体" w:cs="宋体"/>
                <w:kern w:val="0"/>
                <w:szCs w:val="21"/>
              </w:rPr>
            </w:pPr>
            <w:r w:rsidRPr="00E67810">
              <w:rPr>
                <w:rFonts w:ascii="宋体" w:hAnsi="宋体" w:cs="宋体" w:hint="eastAsia"/>
                <w:kern w:val="0"/>
                <w:szCs w:val="21"/>
              </w:rPr>
              <w:t>服务要求标准</w:t>
            </w:r>
          </w:p>
        </w:tc>
      </w:tr>
      <w:tr w:rsidR="00774F55" w:rsidRPr="00E67810" w:rsidTr="00AA50FB">
        <w:trPr>
          <w:trHeight w:val="510"/>
        </w:trPr>
        <w:tc>
          <w:tcPr>
            <w:tcW w:w="646" w:type="dxa"/>
            <w:tcBorders>
              <w:top w:val="nil"/>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Times New Roman" w:hAnsi="Times New Roman"/>
                <w:kern w:val="0"/>
                <w:szCs w:val="21"/>
              </w:rPr>
            </w:pPr>
            <w:r w:rsidRPr="00E67810">
              <w:rPr>
                <w:rFonts w:ascii="Times New Roman" w:hAnsi="Times New Roman"/>
                <w:kern w:val="0"/>
                <w:szCs w:val="21"/>
              </w:rPr>
              <w:t>1</w:t>
            </w:r>
          </w:p>
        </w:tc>
        <w:tc>
          <w:tcPr>
            <w:tcW w:w="1857"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jc w:val="center"/>
              <w:rPr>
                <w:rFonts w:ascii="宋体" w:hAnsi="宋体"/>
              </w:rPr>
            </w:pPr>
            <w:r w:rsidRPr="00E67810">
              <w:rPr>
                <w:rFonts w:ascii="宋体" w:hAnsi="宋体" w:hint="eastAsia"/>
              </w:rPr>
              <w:t>服务承诺函</w:t>
            </w:r>
          </w:p>
        </w:tc>
        <w:tc>
          <w:tcPr>
            <w:tcW w:w="814"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jc w:val="center"/>
              <w:rPr>
                <w:rFonts w:ascii="宋体" w:hAnsi="宋体"/>
              </w:rPr>
            </w:pPr>
            <w:r w:rsidRPr="00E67810">
              <w:rPr>
                <w:rFonts w:cs="宋体" w:hint="eastAsia"/>
                <w:szCs w:val="21"/>
              </w:rPr>
              <w:t>★</w:t>
            </w:r>
          </w:p>
        </w:tc>
        <w:tc>
          <w:tcPr>
            <w:tcW w:w="5687" w:type="dxa"/>
            <w:tcBorders>
              <w:top w:val="nil"/>
              <w:left w:val="nil"/>
              <w:bottom w:val="single" w:sz="4" w:space="0" w:color="auto"/>
              <w:right w:val="single" w:sz="4" w:space="0" w:color="auto"/>
            </w:tcBorders>
            <w:shd w:val="clear" w:color="auto" w:fill="auto"/>
          </w:tcPr>
          <w:p w:rsidR="00774F55" w:rsidRPr="00E67810" w:rsidRDefault="00774F55" w:rsidP="00AA50FB">
            <w:pPr>
              <w:rPr>
                <w:rFonts w:ascii="宋体" w:hAnsi="宋体" w:cs="黑体"/>
              </w:rPr>
            </w:pPr>
            <w:r w:rsidRPr="00E67810">
              <w:rPr>
                <w:rFonts w:ascii="宋体" w:hAnsi="宋体" w:cs="黑体" w:hint="eastAsia"/>
              </w:rPr>
              <w:t>一、中标软件、硬件产品的原厂服务要求</w:t>
            </w:r>
          </w:p>
          <w:p w:rsidR="00774F55" w:rsidRPr="00E67810" w:rsidRDefault="00774F55" w:rsidP="00AA50FB">
            <w:pPr>
              <w:rPr>
                <w:rFonts w:ascii="宋体" w:hAnsi="宋体" w:cs="黑体"/>
              </w:rPr>
            </w:pPr>
            <w:r w:rsidRPr="00E67810">
              <w:rPr>
                <w:rFonts w:ascii="宋体" w:hAnsi="宋体" w:cs="黑体" w:hint="eastAsia"/>
              </w:rPr>
              <w:t>1、硬件设备提供不低于3年的原厂质保服务、系统升级服务、资源库升级服务；</w:t>
            </w:r>
          </w:p>
          <w:p w:rsidR="00774F55" w:rsidRPr="00E67810" w:rsidRDefault="00774F55" w:rsidP="00AA50FB">
            <w:pPr>
              <w:rPr>
                <w:rFonts w:ascii="宋体" w:hAnsi="宋体" w:cs="黑体"/>
              </w:rPr>
            </w:pPr>
            <w:r w:rsidRPr="00E67810">
              <w:rPr>
                <w:rFonts w:ascii="宋体" w:hAnsi="宋体" w:cs="黑体" w:hint="eastAsia"/>
              </w:rPr>
              <w:t>2、软件产品提供不低于1年的原厂质保服务、系统升级服务、资源库升级服务；</w:t>
            </w:r>
          </w:p>
          <w:p w:rsidR="00774F55" w:rsidRPr="00E67810" w:rsidRDefault="00774F55" w:rsidP="00AA50FB">
            <w:pPr>
              <w:rPr>
                <w:rFonts w:ascii="宋体" w:hAnsi="宋体" w:cs="黑体"/>
              </w:rPr>
            </w:pPr>
            <w:r w:rsidRPr="00E67810">
              <w:rPr>
                <w:rFonts w:ascii="宋体" w:hAnsi="宋体" w:cs="黑体" w:hint="eastAsia"/>
              </w:rPr>
              <w:t>3、对于特别约定的原厂质保服务年限的软件、硬件产品，需满足其详细技术指标中的要求。</w:t>
            </w:r>
          </w:p>
          <w:p w:rsidR="00774F55" w:rsidRPr="00E67810" w:rsidRDefault="00774F55" w:rsidP="00AA50FB">
            <w:pPr>
              <w:rPr>
                <w:rFonts w:ascii="宋体" w:hAnsi="宋体" w:cs="黑体"/>
              </w:rPr>
            </w:pPr>
            <w:r w:rsidRPr="00E67810">
              <w:rPr>
                <w:rFonts w:ascii="宋体" w:hAnsi="宋体" w:cs="黑体" w:hint="eastAsia"/>
              </w:rPr>
              <w:t>二、中标者需要提供的服务响应速度、服务网络及服务人员素质要求</w:t>
            </w:r>
          </w:p>
          <w:p w:rsidR="00774F55" w:rsidRPr="00E67810" w:rsidRDefault="00774F55" w:rsidP="00AA50FB">
            <w:pPr>
              <w:rPr>
                <w:rFonts w:ascii="宋体" w:hAnsi="宋体" w:cs="黑体"/>
              </w:rPr>
            </w:pPr>
            <w:r w:rsidRPr="00E67810">
              <w:rPr>
                <w:rFonts w:ascii="宋体" w:hAnsi="宋体" w:cs="黑体" w:hint="eastAsia"/>
              </w:rPr>
              <w:t>1、中标方应确保本次招标项目的各设备安全稳定的运行，并承诺提供不少于三年的免费维保服务。中标方应提供报修电话及相关联系人的移动电话，维保期内，在接到学校方售后服务申请后，中标方须在2小时内响应，4小时内免费上门现场维护，并在24小时内解决问题。</w:t>
            </w:r>
          </w:p>
          <w:p w:rsidR="00774F55" w:rsidRPr="00E67810" w:rsidRDefault="00774F55" w:rsidP="00AA50FB">
            <w:pPr>
              <w:rPr>
                <w:rFonts w:ascii="宋体" w:hAnsi="宋体" w:cs="黑体"/>
              </w:rPr>
            </w:pPr>
            <w:r w:rsidRPr="00E67810">
              <w:rPr>
                <w:rFonts w:ascii="宋体" w:hAnsi="宋体" w:cs="黑体" w:hint="eastAsia"/>
              </w:rPr>
              <w:t>2、中标产品质保期起始日期按验收合格日期计算，产品质保期内，在接到学校方售后服务申请后，中标方会同原厂商须在2小时内响应，4小时内免费上门现场维修，并在24小时内解决问题。</w:t>
            </w:r>
          </w:p>
          <w:p w:rsidR="00774F55" w:rsidRPr="00E67810" w:rsidRDefault="00774F55" w:rsidP="00AA50FB">
            <w:pPr>
              <w:rPr>
                <w:rFonts w:ascii="宋体" w:hAnsi="宋体" w:cs="黑体"/>
              </w:rPr>
            </w:pPr>
            <w:r w:rsidRPr="00E67810">
              <w:rPr>
                <w:rFonts w:ascii="宋体" w:hAnsi="宋体" w:cs="黑体" w:hint="eastAsia"/>
              </w:rPr>
              <w:t>3、中标产品保修期的第一年，所提供的产品在三个月内连续两次以上出现同一故障，中标方会同原厂商必须无偿更换同一档次产品。</w:t>
            </w:r>
          </w:p>
          <w:p w:rsidR="00774F55" w:rsidRPr="00E67810" w:rsidRDefault="00774F55" w:rsidP="00AA50FB">
            <w:pPr>
              <w:rPr>
                <w:rFonts w:ascii="宋体" w:hAnsi="宋体" w:cs="黑体"/>
              </w:rPr>
            </w:pPr>
            <w:r w:rsidRPr="00E67810">
              <w:rPr>
                <w:rFonts w:ascii="宋体" w:hAnsi="宋体" w:cs="黑体" w:hint="eastAsia"/>
              </w:rPr>
              <w:t>4、在中标产品的设计使用寿命周期内，中标方对所提供的产品需承诺终身维护，保证学校方更换到原厂原装的零部件，</w:t>
            </w:r>
            <w:r w:rsidRPr="00E67810">
              <w:rPr>
                <w:rFonts w:ascii="宋体" w:hAnsi="宋体" w:cs="黑体" w:hint="eastAsia"/>
              </w:rPr>
              <w:lastRenderedPageBreak/>
              <w:t>确保产品的正常使用。</w:t>
            </w:r>
          </w:p>
          <w:p w:rsidR="00774F55" w:rsidRPr="00E67810" w:rsidRDefault="00774F55" w:rsidP="00AA50FB">
            <w:pPr>
              <w:rPr>
                <w:rFonts w:ascii="宋体" w:hAnsi="宋体" w:cs="黑体"/>
              </w:rPr>
            </w:pPr>
            <w:r w:rsidRPr="00E67810">
              <w:rPr>
                <w:rFonts w:ascii="宋体" w:hAnsi="宋体" w:cs="黑体" w:hint="eastAsia"/>
              </w:rPr>
              <w:t>三、中标软件、硬件产品的培训要求</w:t>
            </w:r>
          </w:p>
          <w:p w:rsidR="00774F55" w:rsidRPr="00E67810" w:rsidRDefault="00774F55" w:rsidP="00AA50FB">
            <w:pPr>
              <w:rPr>
                <w:rFonts w:ascii="宋体" w:hAnsi="宋体" w:cs="黑体"/>
              </w:rPr>
            </w:pPr>
            <w:r w:rsidRPr="00E67810">
              <w:rPr>
                <w:rFonts w:ascii="宋体" w:hAnsi="宋体" w:cs="黑体" w:hint="eastAsia"/>
              </w:rPr>
              <w:t>软件、硬件产品均应该提供原厂培训，包括 实际现场培训、培训文档、培训案例等资料；并提供7×24咨询。</w:t>
            </w:r>
          </w:p>
        </w:tc>
      </w:tr>
      <w:tr w:rsidR="00774F55" w:rsidRPr="00E67810" w:rsidTr="00AA50FB">
        <w:trPr>
          <w:trHeight w:val="795"/>
        </w:trPr>
        <w:tc>
          <w:tcPr>
            <w:tcW w:w="646" w:type="dxa"/>
            <w:tcBorders>
              <w:top w:val="nil"/>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Times New Roman" w:hAnsi="Times New Roman"/>
                <w:kern w:val="0"/>
                <w:szCs w:val="21"/>
              </w:rPr>
            </w:pPr>
            <w:r w:rsidRPr="00E67810">
              <w:rPr>
                <w:rFonts w:ascii="Times New Roman" w:hAnsi="Times New Roman"/>
                <w:kern w:val="0"/>
                <w:szCs w:val="21"/>
              </w:rPr>
              <w:lastRenderedPageBreak/>
              <w:t>2</w:t>
            </w:r>
          </w:p>
        </w:tc>
        <w:tc>
          <w:tcPr>
            <w:tcW w:w="1857"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jc w:val="center"/>
            </w:pPr>
            <w:r w:rsidRPr="00E67810">
              <w:rPr>
                <w:rFonts w:hint="eastAsia"/>
              </w:rPr>
              <w:t>培训</w:t>
            </w:r>
          </w:p>
        </w:tc>
        <w:tc>
          <w:tcPr>
            <w:tcW w:w="814"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jc w:val="center"/>
              <w:rPr>
                <w:rFonts w:ascii="宋体" w:hAnsi="宋体"/>
              </w:rPr>
            </w:pPr>
          </w:p>
        </w:tc>
        <w:tc>
          <w:tcPr>
            <w:tcW w:w="5687" w:type="dxa"/>
            <w:tcBorders>
              <w:top w:val="nil"/>
              <w:left w:val="nil"/>
              <w:bottom w:val="single" w:sz="4" w:space="0" w:color="auto"/>
              <w:right w:val="single" w:sz="4" w:space="0" w:color="auto"/>
            </w:tcBorders>
            <w:shd w:val="clear" w:color="auto" w:fill="auto"/>
          </w:tcPr>
          <w:p w:rsidR="00774F55" w:rsidRPr="00E67810" w:rsidRDefault="00774F55" w:rsidP="00AA50FB">
            <w:pPr>
              <w:rPr>
                <w:szCs w:val="21"/>
              </w:rPr>
            </w:pPr>
            <w:r w:rsidRPr="00E67810">
              <w:rPr>
                <w:rFonts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774F55" w:rsidRPr="00E67810" w:rsidTr="00AA50FB">
        <w:trPr>
          <w:trHeight w:val="270"/>
        </w:trPr>
        <w:tc>
          <w:tcPr>
            <w:tcW w:w="646" w:type="dxa"/>
            <w:tcBorders>
              <w:top w:val="nil"/>
              <w:left w:val="single" w:sz="4" w:space="0" w:color="auto"/>
              <w:bottom w:val="single" w:sz="4" w:space="0" w:color="auto"/>
              <w:right w:val="single" w:sz="4" w:space="0" w:color="auto"/>
            </w:tcBorders>
            <w:shd w:val="clear" w:color="auto" w:fill="auto"/>
            <w:vAlign w:val="center"/>
          </w:tcPr>
          <w:p w:rsidR="00774F55" w:rsidRPr="00E67810" w:rsidRDefault="00774F55" w:rsidP="00AA50FB">
            <w:pPr>
              <w:widowControl/>
              <w:jc w:val="center"/>
              <w:rPr>
                <w:rFonts w:ascii="Times New Roman" w:hAnsi="Times New Roman"/>
                <w:kern w:val="0"/>
                <w:szCs w:val="21"/>
              </w:rPr>
            </w:pPr>
            <w:r w:rsidRPr="00E67810">
              <w:rPr>
                <w:rFonts w:ascii="Times New Roman" w:hAnsi="Times New Roman"/>
                <w:kern w:val="0"/>
                <w:szCs w:val="21"/>
              </w:rPr>
              <w:t>3</w:t>
            </w:r>
          </w:p>
        </w:tc>
        <w:tc>
          <w:tcPr>
            <w:tcW w:w="1857"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jc w:val="center"/>
              <w:rPr>
                <w:szCs w:val="21"/>
              </w:rPr>
            </w:pPr>
            <w:r w:rsidRPr="00E67810">
              <w:rPr>
                <w:rFonts w:hint="eastAsia"/>
                <w:szCs w:val="21"/>
              </w:rPr>
              <w:t>集成实施服务</w:t>
            </w:r>
          </w:p>
        </w:tc>
        <w:tc>
          <w:tcPr>
            <w:tcW w:w="814"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jc w:val="center"/>
            </w:pPr>
          </w:p>
        </w:tc>
        <w:tc>
          <w:tcPr>
            <w:tcW w:w="5687" w:type="dxa"/>
            <w:tcBorders>
              <w:top w:val="nil"/>
              <w:left w:val="nil"/>
              <w:bottom w:val="single" w:sz="4" w:space="0" w:color="auto"/>
              <w:right w:val="single" w:sz="4" w:space="0" w:color="auto"/>
            </w:tcBorders>
            <w:shd w:val="clear" w:color="auto" w:fill="auto"/>
            <w:vAlign w:val="center"/>
          </w:tcPr>
          <w:p w:rsidR="00774F55" w:rsidRPr="00E67810" w:rsidRDefault="00774F55" w:rsidP="00AA50FB">
            <w:pPr>
              <w:rPr>
                <w:szCs w:val="21"/>
              </w:rPr>
            </w:pPr>
            <w:r w:rsidRPr="00E67810">
              <w:rPr>
                <w:rFonts w:hint="eastAsia"/>
                <w:szCs w:val="21"/>
              </w:rPr>
              <w:t>投标人要根据本项目特点，提供集成实施和安装施工调试方案，负责本次所有投标产品的安装调试集成等服务工作，费用包含在投标总价中。</w:t>
            </w:r>
          </w:p>
        </w:tc>
      </w:tr>
    </w:tbl>
    <w:p w:rsidR="00774F55" w:rsidRPr="00E67810" w:rsidRDefault="00774F55" w:rsidP="00774F55">
      <w:pPr>
        <w:pStyle w:val="a6"/>
        <w:rPr>
          <w:rFonts w:ascii="宋体" w:hAnsi="Courier New"/>
          <w:szCs w:val="21"/>
        </w:rPr>
      </w:pPr>
    </w:p>
    <w:p w:rsidR="00774F55" w:rsidRPr="00E67810" w:rsidRDefault="00774F55" w:rsidP="00774F55">
      <w:pPr>
        <w:pStyle w:val="2"/>
        <w:spacing w:line="440" w:lineRule="exact"/>
        <w:rPr>
          <w:sz w:val="21"/>
          <w:szCs w:val="21"/>
        </w:rPr>
      </w:pPr>
      <w:bookmarkStart w:id="24" w:name="_Toc430269229"/>
      <w:bookmarkStart w:id="25" w:name="_Toc477248555"/>
      <w:bookmarkEnd w:id="7"/>
      <w:bookmarkEnd w:id="8"/>
      <w:bookmarkEnd w:id="9"/>
      <w:bookmarkEnd w:id="10"/>
      <w:bookmarkEnd w:id="11"/>
      <w:bookmarkEnd w:id="12"/>
      <w:bookmarkEnd w:id="13"/>
      <w:bookmarkEnd w:id="14"/>
      <w:bookmarkEnd w:id="15"/>
      <w:bookmarkEnd w:id="16"/>
      <w:bookmarkEnd w:id="17"/>
      <w:r w:rsidRPr="00E67810">
        <w:rPr>
          <w:rFonts w:hint="eastAsia"/>
          <w:sz w:val="21"/>
          <w:szCs w:val="21"/>
        </w:rPr>
        <w:t>验收标准</w:t>
      </w:r>
      <w:bookmarkEnd w:id="24"/>
      <w:bookmarkEnd w:id="25"/>
    </w:p>
    <w:p w:rsidR="00774F55" w:rsidRPr="00E67810" w:rsidRDefault="00774F55" w:rsidP="00774F55">
      <w:pPr>
        <w:numPr>
          <w:ilvl w:val="0"/>
          <w:numId w:val="3"/>
        </w:numPr>
        <w:tabs>
          <w:tab w:val="left" w:pos="862"/>
          <w:tab w:val="left" w:pos="993"/>
        </w:tabs>
        <w:adjustRightInd w:val="0"/>
        <w:snapToGrid w:val="0"/>
        <w:spacing w:line="360" w:lineRule="auto"/>
        <w:ind w:left="0" w:firstLine="426"/>
        <w:rPr>
          <w:rFonts w:ascii="宋体" w:hAnsi="宋体"/>
          <w:szCs w:val="21"/>
        </w:rPr>
      </w:pPr>
      <w:r w:rsidRPr="00E67810">
        <w:rPr>
          <w:rFonts w:ascii="宋体" w:hAnsi="宋体" w:hint="eastAsia"/>
          <w:szCs w:val="21"/>
        </w:rPr>
        <w:t>货物到达现场后，供应商应在采购人在场情况下当面开包，共同清点、检查外观，作出验货记录，双方签字确认后开始安装调试。</w:t>
      </w:r>
    </w:p>
    <w:p w:rsidR="00774F55" w:rsidRPr="00E67810" w:rsidRDefault="00774F55" w:rsidP="00774F55">
      <w:pPr>
        <w:numPr>
          <w:ilvl w:val="0"/>
          <w:numId w:val="3"/>
        </w:numPr>
        <w:tabs>
          <w:tab w:val="left" w:pos="862"/>
          <w:tab w:val="left" w:pos="993"/>
        </w:tabs>
        <w:adjustRightInd w:val="0"/>
        <w:snapToGrid w:val="0"/>
        <w:spacing w:line="360" w:lineRule="auto"/>
        <w:ind w:left="0" w:firstLine="426"/>
        <w:rPr>
          <w:rFonts w:ascii="宋体" w:hAnsi="宋体"/>
          <w:szCs w:val="21"/>
        </w:rPr>
      </w:pPr>
      <w:r w:rsidRPr="00E67810">
        <w:rPr>
          <w:rFonts w:ascii="宋体" w:hAnsi="宋体" w:hint="eastAsia"/>
          <w:szCs w:val="21"/>
        </w:rPr>
        <w:t>成交供应商应保证货物到达采购人所在地完好无损，如有缺漏、损坏，由供应商负责调换、补齐或赔偿。</w:t>
      </w:r>
    </w:p>
    <w:p w:rsidR="00774F55" w:rsidRPr="00E67810" w:rsidRDefault="00774F55" w:rsidP="00774F55">
      <w:pPr>
        <w:numPr>
          <w:ilvl w:val="0"/>
          <w:numId w:val="3"/>
        </w:numPr>
        <w:tabs>
          <w:tab w:val="left" w:pos="862"/>
          <w:tab w:val="left" w:pos="993"/>
        </w:tabs>
        <w:adjustRightInd w:val="0"/>
        <w:snapToGrid w:val="0"/>
        <w:spacing w:line="360" w:lineRule="auto"/>
        <w:ind w:left="0" w:firstLine="426"/>
        <w:rPr>
          <w:rFonts w:ascii="宋体" w:hAnsi="宋体"/>
          <w:szCs w:val="21"/>
        </w:rPr>
      </w:pPr>
      <w:r w:rsidRPr="00E6781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74F55" w:rsidRPr="00E67810" w:rsidRDefault="00774F55" w:rsidP="00774F55">
      <w:pPr>
        <w:numPr>
          <w:ilvl w:val="0"/>
          <w:numId w:val="4"/>
        </w:numPr>
        <w:tabs>
          <w:tab w:val="left" w:pos="851"/>
          <w:tab w:val="left" w:pos="993"/>
        </w:tabs>
        <w:adjustRightInd w:val="0"/>
        <w:snapToGrid w:val="0"/>
        <w:spacing w:line="360" w:lineRule="auto"/>
        <w:ind w:left="0" w:firstLine="426"/>
        <w:rPr>
          <w:rFonts w:ascii="宋体" w:hAnsi="宋体"/>
          <w:szCs w:val="21"/>
        </w:rPr>
      </w:pPr>
      <w:r w:rsidRPr="00E67810">
        <w:rPr>
          <w:rFonts w:ascii="宋体" w:hAnsi="宋体" w:hint="eastAsia"/>
          <w:szCs w:val="21"/>
        </w:rPr>
        <w:t>产品技术参数与采购合同一致，性能指标达到规定的标准；</w:t>
      </w:r>
    </w:p>
    <w:p w:rsidR="00774F55" w:rsidRPr="00E67810" w:rsidRDefault="00774F55" w:rsidP="00774F55">
      <w:pPr>
        <w:numPr>
          <w:ilvl w:val="0"/>
          <w:numId w:val="4"/>
        </w:numPr>
        <w:tabs>
          <w:tab w:val="left" w:pos="851"/>
          <w:tab w:val="left" w:pos="993"/>
        </w:tabs>
        <w:adjustRightInd w:val="0"/>
        <w:snapToGrid w:val="0"/>
        <w:spacing w:line="360" w:lineRule="auto"/>
        <w:ind w:left="0" w:firstLine="426"/>
        <w:rPr>
          <w:rFonts w:ascii="宋体" w:hAnsi="宋体"/>
          <w:szCs w:val="21"/>
        </w:rPr>
      </w:pPr>
      <w:r w:rsidRPr="00E67810">
        <w:rPr>
          <w:rFonts w:ascii="宋体" w:hAnsi="宋体" w:hint="eastAsia"/>
          <w:szCs w:val="21"/>
        </w:rPr>
        <w:t>产品技术资料、装箱单、授权文件等资料齐全；</w:t>
      </w:r>
    </w:p>
    <w:p w:rsidR="00774F55" w:rsidRPr="00E67810" w:rsidRDefault="00774F55" w:rsidP="00774F55">
      <w:pPr>
        <w:numPr>
          <w:ilvl w:val="0"/>
          <w:numId w:val="4"/>
        </w:numPr>
        <w:tabs>
          <w:tab w:val="left" w:pos="851"/>
          <w:tab w:val="left" w:pos="993"/>
        </w:tabs>
        <w:adjustRightInd w:val="0"/>
        <w:snapToGrid w:val="0"/>
        <w:spacing w:line="360" w:lineRule="auto"/>
        <w:ind w:left="0" w:firstLine="426"/>
        <w:rPr>
          <w:rFonts w:ascii="宋体" w:hAnsi="宋体"/>
          <w:szCs w:val="21"/>
        </w:rPr>
      </w:pPr>
      <w:r w:rsidRPr="00E67810">
        <w:rPr>
          <w:rFonts w:ascii="宋体" w:hAnsi="宋体" w:hint="eastAsia"/>
          <w:szCs w:val="21"/>
        </w:rPr>
        <w:t>在产品（系统）试运行期间所出现的问题得到解决，并运行正常；</w:t>
      </w:r>
    </w:p>
    <w:p w:rsidR="00774F55" w:rsidRPr="00E67810" w:rsidRDefault="00774F55" w:rsidP="00774F55">
      <w:pPr>
        <w:numPr>
          <w:ilvl w:val="0"/>
          <w:numId w:val="4"/>
        </w:numPr>
        <w:tabs>
          <w:tab w:val="left" w:pos="851"/>
          <w:tab w:val="left" w:pos="993"/>
        </w:tabs>
        <w:adjustRightInd w:val="0"/>
        <w:snapToGrid w:val="0"/>
        <w:spacing w:line="360" w:lineRule="auto"/>
        <w:ind w:left="0" w:firstLine="426"/>
        <w:rPr>
          <w:rFonts w:ascii="宋体" w:hAnsi="宋体"/>
          <w:szCs w:val="21"/>
        </w:rPr>
      </w:pPr>
      <w:r w:rsidRPr="00E67810">
        <w:rPr>
          <w:rFonts w:ascii="宋体" w:hAnsi="宋体" w:hint="eastAsia"/>
          <w:szCs w:val="21"/>
        </w:rPr>
        <w:t>在规定时间内完成交货并验收，并经采购人确认。</w:t>
      </w:r>
    </w:p>
    <w:p w:rsidR="00774F55" w:rsidRPr="00E67810" w:rsidRDefault="00774F55" w:rsidP="00774F55">
      <w:pPr>
        <w:numPr>
          <w:ilvl w:val="0"/>
          <w:numId w:val="3"/>
        </w:numPr>
        <w:tabs>
          <w:tab w:val="left" w:pos="862"/>
          <w:tab w:val="left" w:pos="993"/>
        </w:tabs>
        <w:adjustRightInd w:val="0"/>
        <w:snapToGrid w:val="0"/>
        <w:spacing w:line="360" w:lineRule="auto"/>
        <w:ind w:left="0" w:firstLine="426"/>
        <w:rPr>
          <w:szCs w:val="21"/>
        </w:rPr>
      </w:pPr>
      <w:r w:rsidRPr="00E67810">
        <w:rPr>
          <w:rFonts w:ascii="宋体" w:hAnsi="宋体" w:hint="eastAsia"/>
          <w:szCs w:val="21"/>
        </w:rPr>
        <w:t>产品在部署调试并试运行符合要求后，才作为最终验收。</w:t>
      </w:r>
    </w:p>
    <w:p w:rsidR="00774F55" w:rsidRPr="00E67810" w:rsidRDefault="00774F55" w:rsidP="00774F55">
      <w:pPr>
        <w:numPr>
          <w:ilvl w:val="0"/>
          <w:numId w:val="3"/>
        </w:numPr>
        <w:tabs>
          <w:tab w:val="left" w:pos="862"/>
          <w:tab w:val="left" w:pos="993"/>
        </w:tabs>
        <w:adjustRightInd w:val="0"/>
        <w:snapToGrid w:val="0"/>
        <w:spacing w:line="360" w:lineRule="auto"/>
        <w:ind w:left="0" w:firstLine="426"/>
        <w:rPr>
          <w:rFonts w:ascii="宋体" w:hAnsi="宋体"/>
          <w:szCs w:val="21"/>
        </w:rPr>
      </w:pPr>
      <w:r w:rsidRPr="00E67810">
        <w:rPr>
          <w:rFonts w:ascii="宋体" w:hAnsi="宋体" w:hint="eastAsia"/>
          <w:szCs w:val="21"/>
        </w:rPr>
        <w:t>采购人对供应商交付的产品（包括质量、技术参数等）进行确认，并出具书面验收意见。</w:t>
      </w:r>
    </w:p>
    <w:p w:rsidR="00774F55" w:rsidRPr="00E67810" w:rsidRDefault="00774F55" w:rsidP="00774F55">
      <w:pPr>
        <w:pStyle w:val="2"/>
        <w:spacing w:line="440" w:lineRule="exact"/>
        <w:rPr>
          <w:sz w:val="21"/>
          <w:szCs w:val="21"/>
        </w:rPr>
      </w:pPr>
      <w:bookmarkStart w:id="26" w:name="_Toc461024576"/>
      <w:bookmarkStart w:id="27" w:name="_Toc477248556"/>
      <w:r w:rsidRPr="00E67810">
        <w:rPr>
          <w:rFonts w:hint="eastAsia"/>
          <w:sz w:val="21"/>
          <w:szCs w:val="21"/>
        </w:rPr>
        <w:t>其他要求</w:t>
      </w:r>
      <w:bookmarkEnd w:id="26"/>
      <w:bookmarkEnd w:id="27"/>
    </w:p>
    <w:p w:rsidR="00774F55" w:rsidRPr="00E67810" w:rsidRDefault="00774F55" w:rsidP="00774F55">
      <w:pPr>
        <w:numPr>
          <w:ilvl w:val="0"/>
          <w:numId w:val="5"/>
        </w:numPr>
        <w:tabs>
          <w:tab w:val="left" w:pos="862"/>
          <w:tab w:val="left" w:pos="993"/>
        </w:tabs>
        <w:adjustRightInd w:val="0"/>
        <w:snapToGrid w:val="0"/>
        <w:spacing w:line="360" w:lineRule="auto"/>
        <w:rPr>
          <w:rFonts w:ascii="宋体" w:hAnsi="宋体"/>
          <w:szCs w:val="21"/>
        </w:rPr>
      </w:pPr>
      <w:r w:rsidRPr="00E67810">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74F55" w:rsidRPr="00E67810" w:rsidRDefault="00774F55" w:rsidP="00774F55">
      <w:pPr>
        <w:numPr>
          <w:ilvl w:val="0"/>
          <w:numId w:val="5"/>
        </w:numPr>
        <w:tabs>
          <w:tab w:val="left" w:pos="862"/>
          <w:tab w:val="left" w:pos="993"/>
        </w:tabs>
        <w:adjustRightInd w:val="0"/>
        <w:snapToGrid w:val="0"/>
        <w:spacing w:line="360" w:lineRule="auto"/>
        <w:rPr>
          <w:rFonts w:ascii="宋体" w:hAnsi="宋体"/>
          <w:szCs w:val="21"/>
        </w:rPr>
      </w:pPr>
      <w:r w:rsidRPr="00E67810">
        <w:rPr>
          <w:rFonts w:ascii="宋体" w:hAnsi="宋体" w:hint="eastAsia"/>
          <w:szCs w:val="21"/>
        </w:rPr>
        <w:t>采购人享有本项目实施过程中产生的知识成果及知识产权。</w:t>
      </w:r>
    </w:p>
    <w:p w:rsidR="00774F55" w:rsidRPr="00E67810" w:rsidRDefault="00774F55" w:rsidP="00774F55">
      <w:pPr>
        <w:numPr>
          <w:ilvl w:val="0"/>
          <w:numId w:val="5"/>
        </w:numPr>
        <w:tabs>
          <w:tab w:val="left" w:pos="862"/>
          <w:tab w:val="left" w:pos="993"/>
        </w:tabs>
        <w:adjustRightInd w:val="0"/>
        <w:snapToGrid w:val="0"/>
        <w:spacing w:line="360" w:lineRule="auto"/>
      </w:pPr>
      <w:r w:rsidRPr="00E67810">
        <w:rPr>
          <w:rFonts w:ascii="宋体" w:hAnsi="宋体" w:hint="eastAsia"/>
          <w:szCs w:val="21"/>
        </w:rPr>
        <w:t>供应商如欲在项目实施过程中采用自有知识成果，需在响应文件中声明，并提供相</w:t>
      </w:r>
      <w:r w:rsidRPr="00E67810">
        <w:rPr>
          <w:rFonts w:ascii="宋体" w:hAnsi="宋体" w:hint="eastAsia"/>
          <w:szCs w:val="21"/>
        </w:rPr>
        <w:lastRenderedPageBreak/>
        <w:t>关知识产权证明文件。使用该知识成果后，供应商需提供开发接口和开发手册等技术文档，并承诺提供无限期技术支持，采购人享有永久使用权。</w:t>
      </w:r>
    </w:p>
    <w:p w:rsidR="00774F55" w:rsidRPr="00E67810" w:rsidRDefault="00774F55" w:rsidP="00774F55">
      <w:pPr>
        <w:numPr>
          <w:ilvl w:val="0"/>
          <w:numId w:val="5"/>
        </w:numPr>
        <w:tabs>
          <w:tab w:val="left" w:pos="862"/>
          <w:tab w:val="left" w:pos="993"/>
        </w:tabs>
        <w:adjustRightInd w:val="0"/>
        <w:snapToGrid w:val="0"/>
        <w:spacing w:line="360" w:lineRule="auto"/>
      </w:pPr>
      <w:r w:rsidRPr="00E67810">
        <w:rPr>
          <w:rFonts w:hint="eastAsia"/>
        </w:rPr>
        <w:t>如采用供应商所不拥有的知识产权的产品，则在报价中必须包括合法获取该知识产权的相关费用。</w:t>
      </w:r>
      <w:bookmarkStart w:id="28" w:name="_Toc338233630"/>
      <w:bookmarkStart w:id="29" w:name="_Toc315871092"/>
      <w:bookmarkStart w:id="30" w:name="_Toc338233629"/>
      <w:bookmarkStart w:id="31" w:name="_Toc315871128"/>
      <w:bookmarkStart w:id="32" w:name="_Toc315871136"/>
      <w:bookmarkStart w:id="33" w:name="_Toc338233632"/>
      <w:bookmarkStart w:id="34" w:name="_Toc315871132"/>
      <w:bookmarkStart w:id="35" w:name="_Toc315871540"/>
      <w:bookmarkStart w:id="36" w:name="_Toc316291612"/>
      <w:bookmarkStart w:id="37" w:name="_Toc316292240"/>
      <w:bookmarkStart w:id="38" w:name="_Toc315871307"/>
      <w:bookmarkStart w:id="39" w:name="_Toc315871247"/>
      <w:bookmarkStart w:id="40" w:name="_Toc315871574"/>
      <w:bookmarkStart w:id="41" w:name="_Toc315871130"/>
      <w:bookmarkStart w:id="42" w:name="_Toc315871129"/>
      <w:bookmarkStart w:id="43" w:name="_Toc315871619"/>
      <w:bookmarkStart w:id="44" w:name="_Toc315871609"/>
      <w:bookmarkStart w:id="45" w:name="_Toc315871452"/>
      <w:bookmarkStart w:id="46" w:name="_Toc315871620"/>
      <w:bookmarkStart w:id="47" w:name="_Toc315871131"/>
      <w:bookmarkStart w:id="48" w:name="_Toc315871622"/>
      <w:bookmarkStart w:id="49" w:name="_Toc315871625"/>
      <w:bookmarkStart w:id="50" w:name="_Toc316292241"/>
      <w:bookmarkStart w:id="51" w:name="_Toc338233631"/>
      <w:bookmarkStart w:id="52" w:name="_Toc315871134"/>
      <w:bookmarkStart w:id="53" w:name="_Toc315871624"/>
      <w:bookmarkStart w:id="54" w:name="_Toc320624224"/>
      <w:bookmarkStart w:id="55" w:name="_Toc315871135"/>
      <w:bookmarkStart w:id="56" w:name="_Toc315871133"/>
      <w:bookmarkStart w:id="57" w:name="_Toc315871140"/>
      <w:bookmarkStart w:id="58" w:name="_Toc316291610"/>
      <w:bookmarkStart w:id="59" w:name="_Toc315871243"/>
      <w:bookmarkStart w:id="60" w:name="_Toc316291611"/>
      <w:bookmarkStart w:id="61" w:name="_Toc315871319"/>
      <w:bookmarkStart w:id="62" w:name="_Toc315871351"/>
      <w:bookmarkStart w:id="63" w:name="_Toc315871139"/>
      <w:bookmarkStart w:id="64" w:name="_Toc315871573"/>
      <w:bookmarkStart w:id="65" w:name="_Toc315871575"/>
      <w:bookmarkStart w:id="66" w:name="_Toc315871141"/>
      <w:bookmarkStart w:id="67" w:name="_Toc315871363"/>
      <w:bookmarkStart w:id="68" w:name="_Toc315871636"/>
      <w:bookmarkStart w:id="69" w:name="_Toc315871634"/>
      <w:bookmarkStart w:id="70" w:name="_Toc315871311"/>
      <w:bookmarkStart w:id="71" w:name="_Toc315871223"/>
      <w:bookmarkStart w:id="72" w:name="_Toc315871235"/>
      <w:bookmarkStart w:id="73" w:name="_Toc316475740"/>
      <w:bookmarkStart w:id="74" w:name="_Toc338233516"/>
      <w:bookmarkStart w:id="75" w:name="_Toc338233568"/>
      <w:bookmarkStart w:id="76" w:name="_Toc338233621"/>
      <w:bookmarkStart w:id="77" w:name="_Toc315871630"/>
      <w:bookmarkStart w:id="78" w:name="_Toc315871629"/>
      <w:bookmarkStart w:id="79" w:name="_Toc316475738"/>
      <w:bookmarkStart w:id="80" w:name="_Toc338233514"/>
      <w:bookmarkStart w:id="81" w:name="_Toc338233566"/>
      <w:bookmarkStart w:id="82" w:name="_Toc321396066"/>
      <w:bookmarkStart w:id="83" w:name="_Toc316475645"/>
      <w:bookmarkStart w:id="84" w:name="_Toc316475642"/>
      <w:bookmarkStart w:id="85" w:name="_Toc315871631"/>
      <w:bookmarkStart w:id="86" w:name="_Toc315871628"/>
      <w:bookmarkStart w:id="87" w:name="_Toc338233567"/>
      <w:bookmarkStart w:id="88" w:name="_Toc315871626"/>
      <w:bookmarkStart w:id="89" w:name="_Toc315871623"/>
      <w:bookmarkStart w:id="90" w:name="_Toc315871633"/>
      <w:bookmarkStart w:id="91" w:name="_Toc315871303"/>
      <w:bookmarkStart w:id="92" w:name="_Toc315871451"/>
      <w:bookmarkStart w:id="93" w:name="_Toc316292239"/>
      <w:bookmarkStart w:id="94" w:name="_Toc316475643"/>
      <w:bookmarkStart w:id="95" w:name="_Toc315871627"/>
      <w:bookmarkStart w:id="96" w:name="_Toc315871357"/>
      <w:bookmarkStart w:id="97" w:name="_Toc316475741"/>
      <w:bookmarkStart w:id="98" w:name="_Toc316475644"/>
      <w:bookmarkStart w:id="99" w:name="_Toc320624218"/>
      <w:bookmarkStart w:id="100" w:name="_Toc320624217"/>
      <w:bookmarkStart w:id="101" w:name="_Toc338233628"/>
      <w:bookmarkStart w:id="102" w:name="_Toc315871635"/>
      <w:bookmarkStart w:id="103" w:name="_Toc320624214"/>
      <w:bookmarkStart w:id="104" w:name="_Toc338233627"/>
      <w:bookmarkStart w:id="105" w:name="_Toc320624215"/>
      <w:bookmarkStart w:id="106" w:name="_Toc320624221"/>
      <w:bookmarkStart w:id="107" w:name="_Toc320624220"/>
      <w:bookmarkStart w:id="108" w:name="_Toc338233565"/>
      <w:bookmarkStart w:id="109" w:name="_Toc320624223"/>
      <w:bookmarkStart w:id="110" w:name="_Toc315871637"/>
      <w:bookmarkStart w:id="111" w:name="_Toc338233626"/>
      <w:bookmarkStart w:id="112" w:name="_Toc338233623"/>
      <w:bookmarkStart w:id="113" w:name="_Toc320624216"/>
      <w:bookmarkStart w:id="114" w:name="_Toc316475739"/>
      <w:bookmarkStart w:id="115" w:name="_Toc338233569"/>
      <w:bookmarkStart w:id="116" w:name="_Toc320624212"/>
      <w:bookmarkStart w:id="117" w:name="_Toc320624213"/>
      <w:bookmarkStart w:id="118" w:name="_Toc320624219"/>
      <w:bookmarkStart w:id="119" w:name="_Toc315871632"/>
      <w:bookmarkStart w:id="120" w:name="_Toc338233622"/>
      <w:bookmarkStart w:id="121" w:name="_Toc323736005"/>
      <w:bookmarkStart w:id="122" w:name="_Toc338233515"/>
      <w:bookmarkStart w:id="123" w:name="_Toc338233625"/>
      <w:bookmarkStart w:id="124" w:name="_Toc320624222"/>
      <w:bookmarkStart w:id="125" w:name="_Toc33823362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E67810">
        <w:br w:type="page"/>
      </w:r>
    </w:p>
    <w:p w:rsidR="00237666" w:rsidRPr="00774F55" w:rsidRDefault="00237666" w:rsidP="00774F55">
      <w:bookmarkStart w:id="126" w:name="_GoBack"/>
      <w:bookmarkEnd w:id="126"/>
    </w:p>
    <w:sectPr w:rsidR="00237666" w:rsidRPr="0077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C8" w:rsidRDefault="007475C8" w:rsidP="00F91BFF">
      <w:r>
        <w:separator/>
      </w:r>
    </w:p>
  </w:endnote>
  <w:endnote w:type="continuationSeparator" w:id="0">
    <w:p w:rsidR="007475C8" w:rsidRDefault="007475C8" w:rsidP="00F9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C8" w:rsidRDefault="007475C8" w:rsidP="00F91BFF">
      <w:r>
        <w:separator/>
      </w:r>
    </w:p>
  </w:footnote>
  <w:footnote w:type="continuationSeparator" w:id="0">
    <w:p w:rsidR="007475C8" w:rsidRDefault="007475C8" w:rsidP="00F91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CB462F7"/>
    <w:multiLevelType w:val="multilevel"/>
    <w:tmpl w:val="1CB462F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F5E14BE"/>
    <w:multiLevelType w:val="multilevel"/>
    <w:tmpl w:val="1F5E14BE"/>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nsid w:val="2DEE32AD"/>
    <w:multiLevelType w:val="multilevel"/>
    <w:tmpl w:val="2DEE32A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6175A98"/>
    <w:multiLevelType w:val="multilevel"/>
    <w:tmpl w:val="36175A98"/>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01AEB6"/>
    <w:multiLevelType w:val="singleLevel"/>
    <w:tmpl w:val="5901AEB6"/>
    <w:lvl w:ilvl="0">
      <w:start w:val="1"/>
      <w:numFmt w:val="decimal"/>
      <w:suff w:val="nothing"/>
      <w:lvlText w:val="%1、"/>
      <w:lvlJc w:val="left"/>
    </w:lvl>
  </w:abstractNum>
  <w:abstractNum w:abstractNumId="8">
    <w:nsid w:val="59083BAA"/>
    <w:multiLevelType w:val="singleLevel"/>
    <w:tmpl w:val="59083BAA"/>
    <w:lvl w:ilvl="0">
      <w:start w:val="20"/>
      <w:numFmt w:val="decimal"/>
      <w:suff w:val="nothing"/>
      <w:lvlText w:val="%1、"/>
      <w:lvlJc w:val="left"/>
    </w:lvl>
  </w:abstractNum>
  <w:abstractNum w:abstractNumId="9">
    <w:nsid w:val="59083BFD"/>
    <w:multiLevelType w:val="singleLevel"/>
    <w:tmpl w:val="59083BFD"/>
    <w:lvl w:ilvl="0">
      <w:start w:val="32"/>
      <w:numFmt w:val="decimal"/>
      <w:suff w:val="nothing"/>
      <w:lvlText w:val="%1、"/>
      <w:lvlJc w:val="left"/>
    </w:lvl>
  </w:abstractNum>
  <w:abstractNum w:abstractNumId="10">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5976DC0"/>
    <w:multiLevelType w:val="multilevel"/>
    <w:tmpl w:val="75976DC0"/>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nsid w:val="7D3230BC"/>
    <w:multiLevelType w:val="multilevel"/>
    <w:tmpl w:val="7D3230BC"/>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0"/>
  </w:num>
  <w:num w:numId="2">
    <w:abstractNumId w:val="10"/>
  </w:num>
  <w:num w:numId="3">
    <w:abstractNumId w:val="6"/>
  </w:num>
  <w:num w:numId="4">
    <w:abstractNumId w:val="1"/>
  </w:num>
  <w:num w:numId="5">
    <w:abstractNumId w:val="11"/>
  </w:num>
  <w:num w:numId="6">
    <w:abstractNumId w:val="2"/>
  </w:num>
  <w:num w:numId="7">
    <w:abstractNumId w:val="5"/>
  </w:num>
  <w:num w:numId="8">
    <w:abstractNumId w:val="12"/>
  </w:num>
  <w:num w:numId="9">
    <w:abstractNumId w:val="4"/>
  </w:num>
  <w:num w:numId="10">
    <w:abstractNumId w:val="13"/>
  </w:num>
  <w:num w:numId="11">
    <w:abstractNumId w:val="3"/>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44"/>
    <w:rsid w:val="00237666"/>
    <w:rsid w:val="0027782C"/>
    <w:rsid w:val="007475C8"/>
    <w:rsid w:val="00774F55"/>
    <w:rsid w:val="00F40D44"/>
    <w:rsid w:val="00F9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741E5-519E-4533-8E6F-5563E8EF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BFF"/>
    <w:pPr>
      <w:widowControl w:val="0"/>
      <w:jc w:val="both"/>
    </w:pPr>
    <w:rPr>
      <w:rFonts w:ascii="Calibri" w:eastAsia="宋体" w:hAnsi="Calibri" w:cs="Times New Roman"/>
    </w:rPr>
  </w:style>
  <w:style w:type="paragraph" w:styleId="1">
    <w:name w:val="heading 1"/>
    <w:basedOn w:val="a"/>
    <w:next w:val="a"/>
    <w:link w:val="1Char"/>
    <w:qFormat/>
    <w:rsid w:val="00F91BFF"/>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F91BFF"/>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F91BFF"/>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F91BFF"/>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BFF"/>
    <w:rPr>
      <w:sz w:val="18"/>
      <w:szCs w:val="18"/>
    </w:rPr>
  </w:style>
  <w:style w:type="paragraph" w:styleId="a4">
    <w:name w:val="footer"/>
    <w:basedOn w:val="a"/>
    <w:link w:val="Char0"/>
    <w:uiPriority w:val="99"/>
    <w:unhideWhenUsed/>
    <w:rsid w:val="00F91BFF"/>
    <w:pPr>
      <w:tabs>
        <w:tab w:val="center" w:pos="4153"/>
        <w:tab w:val="right" w:pos="8306"/>
      </w:tabs>
      <w:snapToGrid w:val="0"/>
      <w:jc w:val="left"/>
    </w:pPr>
    <w:rPr>
      <w:sz w:val="18"/>
      <w:szCs w:val="18"/>
    </w:rPr>
  </w:style>
  <w:style w:type="character" w:customStyle="1" w:styleId="Char0">
    <w:name w:val="页脚 Char"/>
    <w:basedOn w:val="a0"/>
    <w:link w:val="a4"/>
    <w:uiPriority w:val="99"/>
    <w:rsid w:val="00F91BFF"/>
    <w:rPr>
      <w:sz w:val="18"/>
      <w:szCs w:val="18"/>
    </w:rPr>
  </w:style>
  <w:style w:type="character" w:customStyle="1" w:styleId="1Char">
    <w:name w:val="标题 1 Char"/>
    <w:basedOn w:val="a0"/>
    <w:link w:val="1"/>
    <w:rsid w:val="00F91BFF"/>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F91BFF"/>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F91BFF"/>
    <w:rPr>
      <w:rFonts w:ascii="宋体" w:eastAsia="宋体" w:hAnsi="宋体" w:cs="Times New Roman"/>
      <w:b/>
      <w:bCs/>
      <w:color w:val="000000"/>
      <w:kern w:val="0"/>
      <w:sz w:val="28"/>
      <w:szCs w:val="28"/>
    </w:rPr>
  </w:style>
  <w:style w:type="character" w:customStyle="1" w:styleId="4Char">
    <w:name w:val="标题 4 Char"/>
    <w:basedOn w:val="a0"/>
    <w:link w:val="4"/>
    <w:rsid w:val="00F91BFF"/>
    <w:rPr>
      <w:rFonts w:ascii="Arial" w:eastAsia="宋体" w:hAnsi="Arial" w:cs="Times New Roman"/>
      <w:b/>
      <w:bCs/>
      <w:kern w:val="0"/>
      <w:sz w:val="28"/>
      <w:szCs w:val="28"/>
    </w:rPr>
  </w:style>
  <w:style w:type="character" w:customStyle="1" w:styleId="Char1">
    <w:name w:val="列出段落 Char"/>
    <w:link w:val="a5"/>
    <w:qFormat/>
    <w:rsid w:val="00F91BFF"/>
    <w:rPr>
      <w:rFonts w:ascii="Calibri" w:hAnsi="Calibri"/>
    </w:rPr>
  </w:style>
  <w:style w:type="character" w:customStyle="1" w:styleId="Char2">
    <w:name w:val="批注文字 Char"/>
    <w:link w:val="a6"/>
    <w:qFormat/>
    <w:rsid w:val="00F91BFF"/>
    <w:rPr>
      <w:rFonts w:eastAsia="宋体"/>
      <w:sz w:val="18"/>
      <w:szCs w:val="18"/>
    </w:rPr>
  </w:style>
  <w:style w:type="character" w:customStyle="1" w:styleId="CharCharChar">
    <w:name w:val="列出段落 Char Char Char"/>
    <w:link w:val="10"/>
    <w:rsid w:val="00F91BFF"/>
    <w:rPr>
      <w:sz w:val="18"/>
      <w:szCs w:val="18"/>
    </w:rPr>
  </w:style>
  <w:style w:type="paragraph" w:styleId="a6">
    <w:name w:val="annotation text"/>
    <w:basedOn w:val="a"/>
    <w:link w:val="Char2"/>
    <w:qFormat/>
    <w:rsid w:val="00F91BFF"/>
    <w:pPr>
      <w:jc w:val="left"/>
    </w:pPr>
    <w:rPr>
      <w:rFonts w:asciiTheme="minorHAnsi" w:hAnsiTheme="minorHAnsi" w:cstheme="minorBidi"/>
      <w:sz w:val="18"/>
      <w:szCs w:val="18"/>
    </w:rPr>
  </w:style>
  <w:style w:type="character" w:customStyle="1" w:styleId="Char10">
    <w:name w:val="批注文字 Char1"/>
    <w:basedOn w:val="a0"/>
    <w:uiPriority w:val="99"/>
    <w:semiHidden/>
    <w:rsid w:val="00F91BFF"/>
    <w:rPr>
      <w:rFonts w:ascii="Calibri" w:eastAsia="宋体" w:hAnsi="Calibri" w:cs="Times New Roman"/>
    </w:rPr>
  </w:style>
  <w:style w:type="paragraph" w:customStyle="1" w:styleId="10">
    <w:name w:val="列出段落1"/>
    <w:basedOn w:val="a"/>
    <w:link w:val="CharCharChar"/>
    <w:uiPriority w:val="34"/>
    <w:qFormat/>
    <w:rsid w:val="00F91BFF"/>
    <w:pPr>
      <w:ind w:firstLineChars="200" w:firstLine="420"/>
    </w:pPr>
    <w:rPr>
      <w:rFonts w:asciiTheme="minorHAnsi" w:eastAsiaTheme="minorEastAsia" w:hAnsiTheme="minorHAnsi" w:cstheme="minorBidi"/>
      <w:sz w:val="18"/>
      <w:szCs w:val="18"/>
    </w:rPr>
  </w:style>
  <w:style w:type="paragraph" w:styleId="a5">
    <w:name w:val="List Paragraph"/>
    <w:basedOn w:val="a"/>
    <w:link w:val="Char1"/>
    <w:qFormat/>
    <w:rsid w:val="00F91BFF"/>
    <w:pPr>
      <w:ind w:firstLineChars="200" w:firstLine="420"/>
    </w:pPr>
    <w:rPr>
      <w:rFonts w:eastAsiaTheme="minorEastAsia" w:cstheme="minorBidi"/>
    </w:rPr>
  </w:style>
  <w:style w:type="table" w:styleId="a7">
    <w:name w:val="Table Grid"/>
    <w:basedOn w:val="a1"/>
    <w:uiPriority w:val="59"/>
    <w:qFormat/>
    <w:rsid w:val="00F91BF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1302</Words>
  <Characters>7428</Characters>
  <Application>Microsoft Office Word</Application>
  <DocSecurity>0</DocSecurity>
  <Lines>61</Lines>
  <Paragraphs>17</Paragraphs>
  <ScaleCrop>false</ScaleCrop>
  <Company>CN</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2017-05-11T09:54:00Z</dcterms:created>
  <dcterms:modified xsi:type="dcterms:W3CDTF">2017-05-12T02:41:00Z</dcterms:modified>
</cp:coreProperties>
</file>