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8A" w:rsidRPr="008E0FC3" w:rsidRDefault="0004038A" w:rsidP="0004038A">
      <w:pPr>
        <w:pStyle w:val="1"/>
        <w:rPr>
          <w:rFonts w:hint="eastAsia"/>
        </w:rPr>
      </w:pPr>
      <w:bookmarkStart w:id="0" w:name="_Toc217446093"/>
      <w:bookmarkStart w:id="1" w:name="_Toc448156593"/>
      <w:proofErr w:type="spellStart"/>
      <w:r w:rsidRPr="008E0FC3">
        <w:rPr>
          <w:rFonts w:hint="eastAsia"/>
        </w:rPr>
        <w:t>招标项目技术、商务及其他要求</w:t>
      </w:r>
      <w:bookmarkEnd w:id="0"/>
      <w:bookmarkEnd w:id="1"/>
      <w:proofErr w:type="spellEnd"/>
    </w:p>
    <w:p w:rsidR="0004038A" w:rsidRPr="008E0FC3" w:rsidRDefault="0004038A" w:rsidP="0004038A">
      <w:pPr>
        <w:pStyle w:val="2"/>
        <w:keepLines w:val="0"/>
        <w:numPr>
          <w:ilvl w:val="1"/>
          <w:numId w:val="3"/>
        </w:numPr>
        <w:ind w:left="0" w:firstLine="0"/>
        <w:rPr>
          <w:rFonts w:hint="eastAsia"/>
          <w:sz w:val="21"/>
          <w:szCs w:val="21"/>
        </w:rPr>
      </w:pPr>
      <w:bookmarkStart w:id="2" w:name="_Toc414347857"/>
      <w:bookmarkStart w:id="3" w:name="_Toc417566432"/>
      <w:bookmarkStart w:id="4" w:name="_Toc448156594"/>
      <w:proofErr w:type="spellStart"/>
      <w:r w:rsidRPr="008E0FC3">
        <w:rPr>
          <w:rFonts w:hint="eastAsia"/>
          <w:sz w:val="21"/>
          <w:szCs w:val="21"/>
        </w:rPr>
        <w:t>采购</w:t>
      </w:r>
      <w:bookmarkEnd w:id="2"/>
      <w:bookmarkEnd w:id="3"/>
      <w:r w:rsidRPr="008E0FC3">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04038A" w:rsidRPr="008E0FC3" w:rsidTr="009B2349">
        <w:tc>
          <w:tcPr>
            <w:tcW w:w="824" w:type="dxa"/>
            <w:vAlign w:val="center"/>
          </w:tcPr>
          <w:p w:rsidR="0004038A" w:rsidRPr="008E0FC3" w:rsidRDefault="0004038A" w:rsidP="009B2349">
            <w:pPr>
              <w:rPr>
                <w:rFonts w:hint="eastAsia"/>
                <w:b/>
                <w:szCs w:val="21"/>
              </w:rPr>
            </w:pPr>
            <w:r w:rsidRPr="008E0FC3">
              <w:rPr>
                <w:rFonts w:hint="eastAsia"/>
                <w:b/>
                <w:szCs w:val="21"/>
              </w:rPr>
              <w:t>序号</w:t>
            </w:r>
          </w:p>
        </w:tc>
        <w:tc>
          <w:tcPr>
            <w:tcW w:w="6379" w:type="dxa"/>
            <w:vAlign w:val="center"/>
          </w:tcPr>
          <w:p w:rsidR="0004038A" w:rsidRPr="008E0FC3" w:rsidRDefault="0004038A" w:rsidP="009B2349">
            <w:pPr>
              <w:jc w:val="center"/>
              <w:rPr>
                <w:b/>
                <w:szCs w:val="21"/>
              </w:rPr>
            </w:pPr>
            <w:r w:rsidRPr="008E0FC3">
              <w:rPr>
                <w:rFonts w:hint="eastAsia"/>
                <w:b/>
                <w:szCs w:val="21"/>
              </w:rPr>
              <w:t>设备名称</w:t>
            </w:r>
          </w:p>
        </w:tc>
        <w:tc>
          <w:tcPr>
            <w:tcW w:w="1134" w:type="dxa"/>
            <w:vAlign w:val="center"/>
          </w:tcPr>
          <w:p w:rsidR="0004038A" w:rsidRPr="008E0FC3" w:rsidRDefault="0004038A" w:rsidP="009B2349">
            <w:pPr>
              <w:jc w:val="center"/>
              <w:rPr>
                <w:b/>
                <w:szCs w:val="21"/>
              </w:rPr>
            </w:pPr>
            <w:r w:rsidRPr="008E0FC3">
              <w:rPr>
                <w:rFonts w:hint="eastAsia"/>
                <w:b/>
                <w:szCs w:val="21"/>
              </w:rPr>
              <w:t>数量</w:t>
            </w:r>
          </w:p>
        </w:tc>
      </w:tr>
      <w:tr w:rsidR="0004038A" w:rsidRPr="008E0FC3" w:rsidTr="009B2349">
        <w:trPr>
          <w:trHeight w:val="357"/>
        </w:trPr>
        <w:tc>
          <w:tcPr>
            <w:tcW w:w="824" w:type="dxa"/>
            <w:vAlign w:val="center"/>
          </w:tcPr>
          <w:p w:rsidR="0004038A" w:rsidRPr="008E0FC3" w:rsidRDefault="0004038A" w:rsidP="009B2349">
            <w:pPr>
              <w:jc w:val="center"/>
              <w:rPr>
                <w:rFonts w:ascii="宋体" w:hAnsi="宋体" w:cs="宋体" w:hint="eastAsia"/>
                <w:szCs w:val="21"/>
              </w:rPr>
            </w:pPr>
            <w:r w:rsidRPr="008E0FC3">
              <w:rPr>
                <w:rFonts w:ascii="宋体" w:hAnsi="宋体" w:cs="宋体" w:hint="eastAsia"/>
                <w:szCs w:val="21"/>
              </w:rPr>
              <w:t>1</w:t>
            </w:r>
          </w:p>
        </w:tc>
        <w:tc>
          <w:tcPr>
            <w:tcW w:w="6379" w:type="dxa"/>
            <w:vAlign w:val="center"/>
          </w:tcPr>
          <w:p w:rsidR="0004038A" w:rsidRPr="008E0FC3" w:rsidRDefault="0004038A" w:rsidP="009B2349">
            <w:pPr>
              <w:jc w:val="center"/>
              <w:rPr>
                <w:rFonts w:ascii="宋体" w:hAnsi="宋体" w:cs="宋体"/>
                <w:szCs w:val="21"/>
              </w:rPr>
            </w:pPr>
            <w:r w:rsidRPr="008E0FC3">
              <w:rPr>
                <w:rFonts w:ascii="宋体" w:hAnsi="宋体" w:cs="宋体" w:hint="eastAsia"/>
                <w:szCs w:val="21"/>
              </w:rPr>
              <w:t>通信原理综合实验系统</w:t>
            </w:r>
          </w:p>
        </w:tc>
        <w:tc>
          <w:tcPr>
            <w:tcW w:w="1134" w:type="dxa"/>
            <w:vAlign w:val="center"/>
          </w:tcPr>
          <w:p w:rsidR="0004038A" w:rsidRPr="008E0FC3" w:rsidRDefault="0004038A" w:rsidP="009B2349">
            <w:pPr>
              <w:jc w:val="center"/>
              <w:rPr>
                <w:rFonts w:ascii="宋体" w:hAnsi="宋体" w:cs="宋体"/>
                <w:szCs w:val="21"/>
              </w:rPr>
            </w:pPr>
            <w:r w:rsidRPr="008E0FC3">
              <w:rPr>
                <w:rFonts w:ascii="宋体" w:hAnsi="宋体" w:cs="宋体" w:hint="eastAsia"/>
                <w:szCs w:val="21"/>
              </w:rPr>
              <w:t>80台</w:t>
            </w:r>
          </w:p>
        </w:tc>
      </w:tr>
    </w:tbl>
    <w:p w:rsidR="0004038A" w:rsidRPr="008E0FC3" w:rsidRDefault="0004038A" w:rsidP="0004038A">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48156595"/>
      <w:proofErr w:type="spellStart"/>
      <w:r w:rsidRPr="008E0FC3">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04038A" w:rsidRPr="008E0FC3" w:rsidTr="009B2349">
        <w:tc>
          <w:tcPr>
            <w:tcW w:w="682" w:type="dxa"/>
          </w:tcPr>
          <w:p w:rsidR="0004038A" w:rsidRPr="008E0FC3" w:rsidRDefault="0004038A" w:rsidP="009B2349">
            <w:pPr>
              <w:spacing w:line="440" w:lineRule="exact"/>
              <w:rPr>
                <w:b/>
                <w:szCs w:val="21"/>
              </w:rPr>
            </w:pPr>
            <w:r w:rsidRPr="008E0FC3">
              <w:rPr>
                <w:rFonts w:hint="eastAsia"/>
                <w:b/>
                <w:szCs w:val="21"/>
              </w:rPr>
              <w:t>序号</w:t>
            </w:r>
          </w:p>
        </w:tc>
        <w:tc>
          <w:tcPr>
            <w:tcW w:w="1843" w:type="dxa"/>
          </w:tcPr>
          <w:p w:rsidR="0004038A" w:rsidRPr="008E0FC3" w:rsidRDefault="0004038A" w:rsidP="009B2349">
            <w:pPr>
              <w:spacing w:line="440" w:lineRule="exact"/>
              <w:jc w:val="center"/>
              <w:rPr>
                <w:b/>
                <w:szCs w:val="21"/>
              </w:rPr>
            </w:pPr>
            <w:r w:rsidRPr="008E0FC3">
              <w:rPr>
                <w:rFonts w:hint="eastAsia"/>
                <w:b/>
                <w:szCs w:val="21"/>
              </w:rPr>
              <w:t>产品名称</w:t>
            </w:r>
          </w:p>
        </w:tc>
        <w:tc>
          <w:tcPr>
            <w:tcW w:w="6095" w:type="dxa"/>
          </w:tcPr>
          <w:p w:rsidR="0004038A" w:rsidRPr="008E0FC3" w:rsidRDefault="0004038A" w:rsidP="009B2349">
            <w:pPr>
              <w:spacing w:line="440" w:lineRule="exact"/>
              <w:jc w:val="center"/>
              <w:rPr>
                <w:b/>
                <w:szCs w:val="21"/>
              </w:rPr>
            </w:pPr>
            <w:r w:rsidRPr="008E0FC3">
              <w:rPr>
                <w:rFonts w:hint="eastAsia"/>
                <w:b/>
                <w:szCs w:val="21"/>
              </w:rPr>
              <w:t>技术参数及要求</w:t>
            </w:r>
          </w:p>
        </w:tc>
      </w:tr>
      <w:tr w:rsidR="0004038A" w:rsidRPr="008E0FC3" w:rsidTr="009B2349">
        <w:trPr>
          <w:trHeight w:val="416"/>
        </w:trPr>
        <w:tc>
          <w:tcPr>
            <w:tcW w:w="682" w:type="dxa"/>
            <w:vAlign w:val="center"/>
          </w:tcPr>
          <w:p w:rsidR="0004038A" w:rsidRPr="003C0133" w:rsidRDefault="0004038A" w:rsidP="0004038A">
            <w:pPr>
              <w:spacing w:beforeLines="50" w:afterLines="50"/>
              <w:jc w:val="center"/>
              <w:rPr>
                <w:rFonts w:ascii="宋体" w:hAnsi="宋体" w:cs="宋体"/>
                <w:b/>
                <w:szCs w:val="21"/>
              </w:rPr>
            </w:pPr>
            <w:r w:rsidRPr="003C0133">
              <w:rPr>
                <w:rFonts w:ascii="宋体" w:hAnsi="宋体" w:cs="宋体" w:hint="eastAsia"/>
                <w:b/>
                <w:szCs w:val="21"/>
              </w:rPr>
              <w:t>1</w:t>
            </w:r>
          </w:p>
        </w:tc>
        <w:tc>
          <w:tcPr>
            <w:tcW w:w="1843" w:type="dxa"/>
            <w:vAlign w:val="center"/>
          </w:tcPr>
          <w:p w:rsidR="0004038A" w:rsidRPr="003C0133" w:rsidRDefault="0004038A" w:rsidP="009B2349">
            <w:pPr>
              <w:rPr>
                <w:rFonts w:ascii="宋体" w:hAnsi="宋体" w:cs="宋体"/>
                <w:szCs w:val="21"/>
              </w:rPr>
            </w:pPr>
            <w:r w:rsidRPr="003C0133">
              <w:rPr>
                <w:rFonts w:ascii="宋体" w:hAnsi="宋体" w:cs="宋体" w:hint="eastAsia"/>
                <w:szCs w:val="21"/>
              </w:rPr>
              <w:t>通信原理综合实验系统</w:t>
            </w:r>
          </w:p>
        </w:tc>
        <w:tc>
          <w:tcPr>
            <w:tcW w:w="6095" w:type="dxa"/>
            <w:vAlign w:val="center"/>
          </w:tcPr>
          <w:p w:rsidR="0004038A" w:rsidRPr="003C0133" w:rsidRDefault="0004038A" w:rsidP="009B2349">
            <w:pPr>
              <w:jc w:val="left"/>
              <w:rPr>
                <w:rFonts w:ascii="宋体" w:hAnsi="宋体" w:cs="宋体"/>
                <w:szCs w:val="21"/>
              </w:rPr>
            </w:pPr>
            <w:r w:rsidRPr="003C0133">
              <w:rPr>
                <w:rFonts w:ascii="宋体" w:hAnsi="宋体" w:cs="宋体" w:hint="eastAsia"/>
                <w:b/>
                <w:szCs w:val="21"/>
              </w:rPr>
              <w:t>#</w:t>
            </w:r>
            <w:r w:rsidRPr="003C0133">
              <w:rPr>
                <w:rFonts w:ascii="宋体" w:hAnsi="宋体" w:cs="宋体" w:hint="eastAsia"/>
                <w:szCs w:val="21"/>
              </w:rPr>
              <w:t>1、系统性强，性能稳定，所有实验内容必须均在一块主板上，且每个模块都可通过一个跳线开关从系统中独立开来。</w:t>
            </w:r>
          </w:p>
          <w:p w:rsidR="0004038A" w:rsidRPr="003C0133" w:rsidRDefault="0004038A" w:rsidP="009B2349">
            <w:pPr>
              <w:jc w:val="left"/>
              <w:rPr>
                <w:rFonts w:ascii="宋体" w:hAnsi="宋体" w:cs="宋体"/>
                <w:szCs w:val="21"/>
              </w:rPr>
            </w:pPr>
            <w:r w:rsidRPr="003C0133">
              <w:rPr>
                <w:rFonts w:ascii="宋体" w:hAnsi="宋体" w:cs="宋体" w:hint="eastAsia"/>
                <w:szCs w:val="21"/>
              </w:rPr>
              <w:t>★2、采用DSP+FPGA平台，并将其设计成一个可外置模块，可下载程序且易于更换，支持实验设备软件的不断升级；</w:t>
            </w:r>
          </w:p>
          <w:p w:rsidR="0004038A" w:rsidRPr="003C0133" w:rsidRDefault="0004038A" w:rsidP="009B2349">
            <w:pPr>
              <w:jc w:val="left"/>
              <w:rPr>
                <w:rFonts w:ascii="宋体" w:hAnsi="宋体" w:cs="宋体"/>
                <w:szCs w:val="21"/>
              </w:rPr>
            </w:pPr>
            <w:r w:rsidRPr="003C0133">
              <w:rPr>
                <w:rFonts w:ascii="宋体" w:hAnsi="宋体" w:cs="宋体" w:hint="eastAsia"/>
                <w:szCs w:val="21"/>
              </w:rPr>
              <w:t>3、两台计算机、两部电话必须可在一台实验箱上进行全双工通信；</w:t>
            </w:r>
          </w:p>
          <w:p w:rsidR="0004038A" w:rsidRPr="003C0133" w:rsidRDefault="0004038A" w:rsidP="009B2349">
            <w:pPr>
              <w:jc w:val="left"/>
              <w:rPr>
                <w:rFonts w:ascii="宋体" w:hAnsi="宋体" w:cs="宋体"/>
                <w:szCs w:val="21"/>
              </w:rPr>
            </w:pPr>
            <w:r w:rsidRPr="003C0133">
              <w:rPr>
                <w:rFonts w:ascii="宋体" w:hAnsi="宋体" w:cs="宋体" w:hint="eastAsia"/>
                <w:szCs w:val="21"/>
              </w:rPr>
              <w:t>4、实验箱采用不对称信道：无线信道和有线信道；</w:t>
            </w:r>
          </w:p>
          <w:p w:rsidR="0004038A" w:rsidRPr="003C0133" w:rsidRDefault="0004038A" w:rsidP="009B2349">
            <w:pPr>
              <w:jc w:val="left"/>
              <w:rPr>
                <w:rFonts w:ascii="宋体" w:hAnsi="宋体" w:cs="宋体"/>
                <w:szCs w:val="21"/>
              </w:rPr>
            </w:pPr>
            <w:r w:rsidRPr="003C0133">
              <w:rPr>
                <w:rFonts w:ascii="宋体" w:hAnsi="宋体" w:cs="宋体" w:hint="eastAsia"/>
                <w:szCs w:val="21"/>
              </w:rPr>
              <w:t>5、实验箱应具有加扰功能、信道选择与多路复用功能，时钟连续可变；</w:t>
            </w:r>
          </w:p>
          <w:p w:rsidR="0004038A" w:rsidRPr="003C0133" w:rsidRDefault="0004038A" w:rsidP="009B2349">
            <w:pPr>
              <w:jc w:val="left"/>
              <w:rPr>
                <w:rFonts w:ascii="宋体" w:hAnsi="宋体" w:cs="宋体"/>
                <w:szCs w:val="21"/>
              </w:rPr>
            </w:pPr>
            <w:r w:rsidRPr="003C0133">
              <w:rPr>
                <w:rFonts w:ascii="宋体" w:hAnsi="宋体" w:cs="宋体" w:hint="eastAsia"/>
                <w:szCs w:val="21"/>
              </w:rPr>
              <w:t>6、调制平台为公用正交调制平台，调制载波有1024Khz和900Khz两种可选；</w:t>
            </w:r>
          </w:p>
          <w:p w:rsidR="0004038A" w:rsidRPr="003C0133" w:rsidRDefault="0004038A" w:rsidP="009B2349">
            <w:pPr>
              <w:jc w:val="left"/>
              <w:rPr>
                <w:rFonts w:ascii="宋体" w:hAnsi="宋体" w:cs="宋体"/>
                <w:szCs w:val="21"/>
              </w:rPr>
            </w:pPr>
            <w:r w:rsidRPr="003C0133">
              <w:rPr>
                <w:rFonts w:ascii="宋体" w:hAnsi="宋体" w:cs="宋体" w:hint="eastAsia"/>
                <w:szCs w:val="21"/>
              </w:rPr>
              <w:t>7、实验箱应具有连续相位FSK调制方式；</w:t>
            </w:r>
          </w:p>
          <w:p w:rsidR="0004038A" w:rsidRPr="003C0133" w:rsidRDefault="0004038A" w:rsidP="009B2349">
            <w:pPr>
              <w:jc w:val="left"/>
              <w:rPr>
                <w:rFonts w:ascii="宋体" w:hAnsi="宋体" w:cs="宋体"/>
                <w:szCs w:val="21"/>
              </w:rPr>
            </w:pPr>
            <w:r w:rsidRPr="003C0133">
              <w:rPr>
                <w:rFonts w:ascii="宋体" w:hAnsi="宋体" w:cs="宋体" w:hint="eastAsia"/>
                <w:szCs w:val="21"/>
              </w:rPr>
              <w:t>★8、实验</w:t>
            </w:r>
            <w:proofErr w:type="gramStart"/>
            <w:r w:rsidRPr="003C0133">
              <w:rPr>
                <w:rFonts w:ascii="宋体" w:hAnsi="宋体" w:cs="宋体" w:hint="eastAsia"/>
                <w:szCs w:val="21"/>
              </w:rPr>
              <w:t>箱具有</w:t>
            </w:r>
            <w:proofErr w:type="gramEnd"/>
            <w:r w:rsidRPr="003C0133">
              <w:rPr>
                <w:rFonts w:ascii="宋体" w:hAnsi="宋体" w:cs="宋体" w:hint="eastAsia"/>
                <w:szCs w:val="21"/>
              </w:rPr>
              <w:t>BPSK模块，包括眼图观察、调制、最佳接收、载波恢复、位定时恢复，综合了通信原理课程中的基带传输理论、调制解调技术和最佳接收技术；</w:t>
            </w:r>
          </w:p>
          <w:p w:rsidR="0004038A" w:rsidRPr="003C0133" w:rsidRDefault="0004038A" w:rsidP="009B2349">
            <w:pPr>
              <w:jc w:val="left"/>
              <w:rPr>
                <w:rFonts w:ascii="宋体" w:hAnsi="宋体" w:cs="宋体"/>
                <w:szCs w:val="21"/>
              </w:rPr>
            </w:pPr>
            <w:r w:rsidRPr="003C0133">
              <w:rPr>
                <w:rFonts w:ascii="宋体" w:hAnsi="宋体" w:cs="宋体" w:hint="eastAsia"/>
                <w:b/>
                <w:szCs w:val="21"/>
              </w:rPr>
              <w:t>#</w:t>
            </w:r>
            <w:r w:rsidRPr="003C0133">
              <w:rPr>
                <w:rFonts w:ascii="宋体" w:hAnsi="宋体" w:cs="宋体" w:hint="eastAsia"/>
                <w:szCs w:val="21"/>
              </w:rPr>
              <w:t>9、必须包含下述所有现代数字调制技术QPSK、MSK、GMSK、π/4DQPSK、16QAM、64QAM；</w:t>
            </w:r>
          </w:p>
          <w:p w:rsidR="0004038A" w:rsidRPr="003C0133" w:rsidRDefault="0004038A" w:rsidP="009B2349">
            <w:pPr>
              <w:jc w:val="left"/>
              <w:rPr>
                <w:rFonts w:ascii="宋体" w:hAnsi="宋体" w:cs="宋体"/>
                <w:szCs w:val="21"/>
              </w:rPr>
            </w:pPr>
            <w:r w:rsidRPr="003C0133">
              <w:rPr>
                <w:rFonts w:ascii="宋体" w:hAnsi="宋体" w:cs="宋体" w:hint="eastAsia"/>
                <w:szCs w:val="21"/>
              </w:rPr>
              <w:t>10、必须支持CDMA码分多址实验模块</w:t>
            </w:r>
          </w:p>
          <w:p w:rsidR="0004038A" w:rsidRPr="003C0133" w:rsidRDefault="0004038A" w:rsidP="009B2349">
            <w:pPr>
              <w:jc w:val="left"/>
              <w:rPr>
                <w:rFonts w:ascii="宋体" w:hAnsi="宋体" w:cs="宋体"/>
                <w:szCs w:val="21"/>
              </w:rPr>
            </w:pPr>
            <w:r w:rsidRPr="003C0133">
              <w:rPr>
                <w:rFonts w:ascii="宋体" w:hAnsi="宋体" w:cs="宋体" w:hint="eastAsia"/>
                <w:szCs w:val="21"/>
              </w:rPr>
              <w:t>11、所有数字调制方式采用软件实现，硬件平台公用，程序预存，可以随时通过按键任意更改调制方式；</w:t>
            </w:r>
          </w:p>
          <w:p w:rsidR="0004038A" w:rsidRPr="003C0133" w:rsidRDefault="0004038A" w:rsidP="009B2349">
            <w:pPr>
              <w:jc w:val="left"/>
              <w:rPr>
                <w:rFonts w:ascii="宋体" w:hAnsi="宋体" w:cs="宋体"/>
                <w:szCs w:val="21"/>
              </w:rPr>
            </w:pPr>
            <w:r w:rsidRPr="003C0133">
              <w:rPr>
                <w:rFonts w:ascii="宋体" w:hAnsi="宋体" w:cs="宋体" w:hint="eastAsia"/>
                <w:szCs w:val="21"/>
              </w:rPr>
              <w:t>12、具有众多的模拟调制方式：AM调制，抑制载波的双边带调制，FM调制；</w:t>
            </w:r>
          </w:p>
          <w:p w:rsidR="0004038A" w:rsidRPr="003C0133" w:rsidRDefault="0004038A" w:rsidP="009B2349">
            <w:pPr>
              <w:jc w:val="left"/>
              <w:rPr>
                <w:rFonts w:ascii="宋体" w:hAnsi="宋体" w:cs="宋体"/>
                <w:szCs w:val="21"/>
              </w:rPr>
            </w:pPr>
            <w:r w:rsidRPr="003C0133">
              <w:rPr>
                <w:rFonts w:ascii="宋体" w:hAnsi="宋体" w:cs="宋体" w:hint="eastAsia"/>
                <w:szCs w:val="21"/>
              </w:rPr>
              <w:t>13、包括语音编译码技术，4路数</w:t>
            </w:r>
            <w:proofErr w:type="gramStart"/>
            <w:r w:rsidRPr="003C0133">
              <w:rPr>
                <w:rFonts w:ascii="宋体" w:hAnsi="宋体" w:cs="宋体" w:hint="eastAsia"/>
                <w:szCs w:val="21"/>
              </w:rPr>
              <w:t>字复接技术</w:t>
            </w:r>
            <w:proofErr w:type="gramEnd"/>
            <w:r w:rsidRPr="003C0133">
              <w:rPr>
                <w:rFonts w:ascii="宋体" w:hAnsi="宋体" w:cs="宋体" w:hint="eastAsia"/>
                <w:szCs w:val="21"/>
              </w:rPr>
              <w:t>，码分复用技术，纠错编译码技术；</w:t>
            </w:r>
          </w:p>
          <w:p w:rsidR="0004038A" w:rsidRPr="003C0133" w:rsidRDefault="0004038A" w:rsidP="009B2349">
            <w:pPr>
              <w:jc w:val="left"/>
              <w:rPr>
                <w:rFonts w:ascii="宋体" w:hAnsi="宋体" w:cs="宋体"/>
                <w:szCs w:val="21"/>
              </w:rPr>
            </w:pPr>
            <w:r w:rsidRPr="003C0133">
              <w:rPr>
                <w:rFonts w:ascii="宋体" w:hAnsi="宋体" w:cs="宋体" w:hint="eastAsia"/>
                <w:szCs w:val="21"/>
              </w:rPr>
              <w:t>★14、发时钟和收时钟是独立的，易于观察位定时的恢复且可以一台实验箱做发端，另外一台实验</w:t>
            </w:r>
            <w:proofErr w:type="gramStart"/>
            <w:r w:rsidRPr="003C0133">
              <w:rPr>
                <w:rFonts w:ascii="宋体" w:hAnsi="宋体" w:cs="宋体" w:hint="eastAsia"/>
                <w:szCs w:val="21"/>
              </w:rPr>
              <w:t>箱恢复</w:t>
            </w:r>
            <w:proofErr w:type="gramEnd"/>
            <w:r w:rsidRPr="003C0133">
              <w:rPr>
                <w:rFonts w:ascii="宋体" w:hAnsi="宋体" w:cs="宋体" w:hint="eastAsia"/>
                <w:szCs w:val="21"/>
              </w:rPr>
              <w:t>数据；</w:t>
            </w:r>
          </w:p>
          <w:p w:rsidR="0004038A" w:rsidRPr="003C0133" w:rsidRDefault="0004038A" w:rsidP="009B2349">
            <w:pPr>
              <w:jc w:val="left"/>
              <w:rPr>
                <w:rFonts w:ascii="宋体" w:hAnsi="宋体" w:cs="宋体"/>
                <w:szCs w:val="21"/>
              </w:rPr>
            </w:pPr>
            <w:r w:rsidRPr="003C0133">
              <w:rPr>
                <w:rFonts w:ascii="宋体" w:hAnsi="宋体" w:cs="宋体" w:hint="eastAsia"/>
                <w:szCs w:val="21"/>
              </w:rPr>
              <w:t>15、自带</w:t>
            </w:r>
            <w:proofErr w:type="gramStart"/>
            <w:r w:rsidRPr="003C0133">
              <w:rPr>
                <w:rFonts w:ascii="宋体" w:hAnsi="宋体" w:cs="宋体" w:hint="eastAsia"/>
                <w:szCs w:val="21"/>
              </w:rPr>
              <w:t>信号源且具有</w:t>
            </w:r>
            <w:proofErr w:type="gramEnd"/>
            <w:r w:rsidRPr="003C0133">
              <w:rPr>
                <w:rFonts w:ascii="宋体" w:hAnsi="宋体" w:cs="宋体" w:hint="eastAsia"/>
                <w:szCs w:val="21"/>
              </w:rPr>
              <w:t>方便PCM、PAM实验测试的模拟同步信号源；</w:t>
            </w:r>
          </w:p>
          <w:p w:rsidR="0004038A" w:rsidRPr="003C0133" w:rsidRDefault="0004038A" w:rsidP="009B2349">
            <w:pPr>
              <w:jc w:val="left"/>
              <w:rPr>
                <w:rFonts w:ascii="宋体" w:hAnsi="宋体" w:cs="宋体"/>
                <w:szCs w:val="21"/>
              </w:rPr>
            </w:pPr>
            <w:r w:rsidRPr="003C0133">
              <w:rPr>
                <w:rFonts w:ascii="宋体" w:hAnsi="宋体" w:cs="宋体" w:hint="eastAsia"/>
                <w:szCs w:val="21"/>
              </w:rPr>
              <w:t>16、包括</w:t>
            </w:r>
            <w:proofErr w:type="gramStart"/>
            <w:r w:rsidRPr="003C0133">
              <w:rPr>
                <w:rFonts w:ascii="宋体" w:hAnsi="宋体" w:cs="宋体" w:hint="eastAsia"/>
                <w:szCs w:val="21"/>
              </w:rPr>
              <w:t>汉明编译码</w:t>
            </w:r>
            <w:proofErr w:type="gramEnd"/>
            <w:r w:rsidRPr="003C0133">
              <w:rPr>
                <w:rFonts w:ascii="宋体" w:hAnsi="宋体" w:cs="宋体" w:hint="eastAsia"/>
                <w:szCs w:val="21"/>
              </w:rPr>
              <w:t>、CMI编译码、HDB3编译码（码型丰富）等；</w:t>
            </w:r>
          </w:p>
          <w:p w:rsidR="0004038A" w:rsidRPr="003C0133" w:rsidRDefault="0004038A" w:rsidP="009B2349">
            <w:pPr>
              <w:jc w:val="left"/>
              <w:rPr>
                <w:rFonts w:ascii="宋体" w:hAnsi="宋体" w:cs="宋体"/>
                <w:szCs w:val="21"/>
              </w:rPr>
            </w:pPr>
            <w:r w:rsidRPr="003C0133">
              <w:rPr>
                <w:rFonts w:ascii="宋体" w:hAnsi="宋体" w:cs="宋体" w:hint="eastAsia"/>
                <w:szCs w:val="21"/>
              </w:rPr>
              <w:t>17、具有友好的人机接口界面：按键输入，液晶显示。</w:t>
            </w:r>
          </w:p>
          <w:p w:rsidR="0004038A" w:rsidRPr="003C0133" w:rsidRDefault="0004038A" w:rsidP="009B2349">
            <w:pPr>
              <w:jc w:val="left"/>
              <w:rPr>
                <w:rFonts w:ascii="宋体" w:hAnsi="宋体" w:cs="宋体"/>
                <w:szCs w:val="21"/>
              </w:rPr>
            </w:pPr>
            <w:r w:rsidRPr="003C0133">
              <w:rPr>
                <w:rFonts w:ascii="宋体" w:hAnsi="宋体" w:cs="宋体" w:hint="eastAsia"/>
                <w:szCs w:val="21"/>
              </w:rPr>
              <w:t>★18、支持不少于55个实验项目，其中二次开发不少于15个，</w:t>
            </w:r>
            <w:r w:rsidRPr="008E0FC3">
              <w:rPr>
                <w:rFonts w:hint="eastAsia"/>
              </w:rPr>
              <w:lastRenderedPageBreak/>
              <w:t>提供完善的教师用书、学生实验指导书及电子版教材</w:t>
            </w:r>
            <w:r w:rsidRPr="003C0133">
              <w:rPr>
                <w:rFonts w:ascii="宋体" w:hAnsi="宋体" w:cs="宋体" w:hint="eastAsia"/>
                <w:szCs w:val="21"/>
              </w:rPr>
              <w:t>。</w:t>
            </w:r>
          </w:p>
          <w:p w:rsidR="0004038A" w:rsidRPr="003C0133" w:rsidRDefault="0004038A" w:rsidP="009B2349">
            <w:pPr>
              <w:jc w:val="left"/>
              <w:rPr>
                <w:rFonts w:ascii="宋体" w:hAnsi="宋体" w:cs="宋体"/>
                <w:szCs w:val="21"/>
              </w:rPr>
            </w:pPr>
            <w:r w:rsidRPr="003C0133">
              <w:rPr>
                <w:rFonts w:ascii="宋体" w:hAnsi="宋体" w:cs="宋体" w:hint="eastAsia"/>
                <w:b/>
                <w:szCs w:val="21"/>
              </w:rPr>
              <w:t>#</w:t>
            </w:r>
            <w:r w:rsidRPr="003C0133">
              <w:rPr>
                <w:rFonts w:ascii="宋体" w:hAnsi="宋体" w:cs="宋体" w:hint="eastAsia"/>
                <w:szCs w:val="21"/>
              </w:rPr>
              <w:t>19、至少支持以下实验项目，以满足教学要求：</w:t>
            </w:r>
          </w:p>
          <w:p w:rsidR="0004038A" w:rsidRPr="003C0133" w:rsidRDefault="0004038A" w:rsidP="009B2349">
            <w:pPr>
              <w:jc w:val="left"/>
              <w:rPr>
                <w:rFonts w:ascii="宋体" w:hAnsi="宋体" w:cs="宋体"/>
                <w:szCs w:val="21"/>
              </w:rPr>
            </w:pPr>
            <w:r w:rsidRPr="003C0133">
              <w:rPr>
                <w:rFonts w:ascii="宋体" w:hAnsi="宋体" w:cs="宋体" w:hint="eastAsia"/>
                <w:szCs w:val="21"/>
              </w:rPr>
              <w:t>1、模拟和全数字锁相环实验；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2、连续相位FSK调制传输实验；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3、相干解调BPSK传输实验；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4、非相干解调DBPSK传输实验；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5、</w:t>
            </w:r>
            <w:proofErr w:type="gramStart"/>
            <w:r w:rsidRPr="003C0133">
              <w:rPr>
                <w:rFonts w:ascii="宋体" w:hAnsi="宋体" w:cs="宋体" w:hint="eastAsia"/>
                <w:szCs w:val="21"/>
              </w:rPr>
              <w:t>汉明编译码</w:t>
            </w:r>
            <w:proofErr w:type="gramEnd"/>
            <w:r w:rsidRPr="003C0133">
              <w:rPr>
                <w:rFonts w:ascii="宋体" w:hAnsi="宋体" w:cs="宋体" w:hint="eastAsia"/>
                <w:szCs w:val="21"/>
              </w:rPr>
              <w:t>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6、PAM、PCM、ADPCM、CVSD编译码器系统实验；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7、AMI/HDB3、CMI码型变换实验；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8、帧成形及其传输实验；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9、帧同步提取系统实验；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10、RS422、 RS232接口实验；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11、QPSK传输系统实验；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12、OQPSK传输系统实验；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13、π/4DQPSK传输系统实验；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14、MSK传输系统实验；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15、GMSK传输系统实验；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16、16QAM传输系统实验；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17、64QAM传输系统实验；</w:t>
            </w:r>
          </w:p>
          <w:p w:rsidR="0004038A" w:rsidRPr="003C0133" w:rsidRDefault="0004038A" w:rsidP="009B2349">
            <w:pPr>
              <w:jc w:val="left"/>
              <w:rPr>
                <w:rFonts w:ascii="宋体" w:hAnsi="宋体" w:cs="宋体"/>
                <w:szCs w:val="21"/>
              </w:rPr>
            </w:pPr>
            <w:r w:rsidRPr="003C0133">
              <w:rPr>
                <w:rFonts w:ascii="宋体" w:hAnsi="宋体" w:cs="宋体" w:hint="eastAsia"/>
                <w:szCs w:val="21"/>
              </w:rPr>
              <w:t>18、CDMA传输系统实验；</w:t>
            </w:r>
          </w:p>
          <w:p w:rsidR="0004038A" w:rsidRPr="003C0133" w:rsidRDefault="0004038A" w:rsidP="009B2349">
            <w:pPr>
              <w:jc w:val="left"/>
              <w:rPr>
                <w:rFonts w:ascii="宋体" w:hAnsi="宋体" w:cs="宋体"/>
                <w:szCs w:val="21"/>
              </w:rPr>
            </w:pPr>
            <w:r w:rsidRPr="003C0133">
              <w:rPr>
                <w:rFonts w:ascii="宋体" w:hAnsi="宋体" w:cs="宋体" w:hint="eastAsia"/>
                <w:b/>
                <w:szCs w:val="21"/>
              </w:rPr>
              <w:t>#</w:t>
            </w:r>
            <w:r w:rsidRPr="003C0133">
              <w:rPr>
                <w:rFonts w:ascii="宋体" w:hAnsi="宋体" w:cs="宋体" w:hint="eastAsia"/>
                <w:szCs w:val="21"/>
              </w:rPr>
              <w:t>20、为保证投标产品的真实性，投标人需对所投产品进行现场演示。</w:t>
            </w:r>
          </w:p>
        </w:tc>
      </w:tr>
    </w:tbl>
    <w:p w:rsidR="0004038A" w:rsidRPr="008E0FC3" w:rsidRDefault="0004038A" w:rsidP="0004038A">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8156596"/>
      <w:proofErr w:type="spellStart"/>
      <w:r w:rsidRPr="008E0FC3">
        <w:rPr>
          <w:rFonts w:hint="eastAsia"/>
          <w:sz w:val="21"/>
          <w:szCs w:val="21"/>
        </w:rPr>
        <w:lastRenderedPageBreak/>
        <w:t>商务要求</w:t>
      </w:r>
      <w:bookmarkEnd w:id="5"/>
      <w:bookmarkEnd w:id="20"/>
      <w:bookmarkEnd w:id="21"/>
      <w:bookmarkEnd w:id="22"/>
      <w:bookmarkEnd w:id="23"/>
      <w:bookmarkEnd w:id="24"/>
      <w:proofErr w:type="spellEnd"/>
    </w:p>
    <w:p w:rsidR="0004038A" w:rsidRPr="008E0FC3" w:rsidRDefault="0004038A" w:rsidP="0004038A">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8E0FC3">
        <w:rPr>
          <w:rFonts w:hint="eastAsia"/>
          <w:bCs w:val="0"/>
          <w:color w:val="auto"/>
          <w:sz w:val="21"/>
          <w:szCs w:val="21"/>
        </w:rPr>
        <w:t>付款方式</w:t>
      </w:r>
      <w:bookmarkEnd w:id="25"/>
      <w:proofErr w:type="spellEnd"/>
    </w:p>
    <w:p w:rsidR="0004038A" w:rsidRPr="008E0FC3" w:rsidRDefault="0004038A" w:rsidP="0004038A">
      <w:pPr>
        <w:spacing w:line="440" w:lineRule="exact"/>
        <w:ind w:firstLineChars="200" w:firstLine="420"/>
        <w:rPr>
          <w:rFonts w:hint="eastAsia"/>
          <w:szCs w:val="21"/>
        </w:rPr>
      </w:pPr>
      <w:bookmarkStart w:id="26" w:name="_Toc417566438"/>
      <w:r w:rsidRPr="008E0FC3">
        <w:rPr>
          <w:szCs w:val="21"/>
        </w:rPr>
        <w:t>1.</w:t>
      </w:r>
      <w:r w:rsidRPr="008E0FC3">
        <w:rPr>
          <w:szCs w:val="21"/>
        </w:rPr>
        <w:t>分期付款，第一期，合同签署后支付</w:t>
      </w:r>
      <w:r w:rsidRPr="008E0FC3">
        <w:rPr>
          <w:rFonts w:hint="eastAsia"/>
          <w:szCs w:val="21"/>
        </w:rPr>
        <w:t>合同</w:t>
      </w:r>
      <w:r w:rsidRPr="008E0FC3">
        <w:rPr>
          <w:szCs w:val="21"/>
        </w:rPr>
        <w:t>总额的</w:t>
      </w:r>
      <w:r w:rsidRPr="008E0FC3">
        <w:rPr>
          <w:szCs w:val="21"/>
        </w:rPr>
        <w:t>40%</w:t>
      </w:r>
      <w:r w:rsidRPr="008E0FC3">
        <w:rPr>
          <w:szCs w:val="21"/>
        </w:rPr>
        <w:t>；第二期，货到验收合格，在中标人支付采购人</w:t>
      </w:r>
      <w:r w:rsidRPr="008E0FC3">
        <w:rPr>
          <w:szCs w:val="21"/>
        </w:rPr>
        <w:t>5%</w:t>
      </w:r>
      <w:r w:rsidRPr="008E0FC3">
        <w:rPr>
          <w:szCs w:val="21"/>
        </w:rPr>
        <w:t>的质保金后十个工作日内，采购人支付合同总额的</w:t>
      </w:r>
      <w:r w:rsidRPr="008E0FC3">
        <w:rPr>
          <w:szCs w:val="21"/>
        </w:rPr>
        <w:t>60%</w:t>
      </w:r>
      <w:r w:rsidRPr="008E0FC3">
        <w:rPr>
          <w:szCs w:val="21"/>
        </w:rPr>
        <w:t>；第三期，正常运行</w:t>
      </w:r>
      <w:r w:rsidRPr="008E0FC3">
        <w:rPr>
          <w:rFonts w:hint="eastAsia"/>
          <w:szCs w:val="21"/>
        </w:rPr>
        <w:t>一</w:t>
      </w:r>
      <w:r w:rsidRPr="008E0FC3">
        <w:rPr>
          <w:szCs w:val="21"/>
        </w:rPr>
        <w:t>年后</w:t>
      </w:r>
      <w:r w:rsidRPr="008E0FC3">
        <w:rPr>
          <w:rFonts w:hint="eastAsia"/>
          <w:szCs w:val="21"/>
        </w:rPr>
        <w:t>退还</w:t>
      </w:r>
      <w:r w:rsidRPr="008E0FC3">
        <w:rPr>
          <w:szCs w:val="21"/>
        </w:rPr>
        <w:t>质保金；</w:t>
      </w:r>
    </w:p>
    <w:p w:rsidR="0004038A" w:rsidRPr="008E0FC3" w:rsidRDefault="0004038A" w:rsidP="0004038A">
      <w:pPr>
        <w:spacing w:line="440" w:lineRule="exact"/>
        <w:ind w:firstLineChars="200" w:firstLine="420"/>
        <w:rPr>
          <w:rFonts w:hint="eastAsia"/>
          <w:szCs w:val="21"/>
        </w:rPr>
      </w:pPr>
      <w:r w:rsidRPr="008E0FC3">
        <w:rPr>
          <w:szCs w:val="21"/>
        </w:rPr>
        <w:t>2.</w:t>
      </w:r>
      <w:r w:rsidRPr="008E0FC3">
        <w:rPr>
          <w:szCs w:val="21"/>
        </w:rPr>
        <w:t>中标人需提供增值税专用发票。</w:t>
      </w:r>
    </w:p>
    <w:p w:rsidR="0004038A" w:rsidRPr="008E0FC3" w:rsidRDefault="0004038A" w:rsidP="0004038A">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8E0FC3">
        <w:rPr>
          <w:rFonts w:hint="eastAsia"/>
          <w:bCs w:val="0"/>
          <w:color w:val="auto"/>
          <w:sz w:val="21"/>
          <w:szCs w:val="21"/>
        </w:rPr>
        <w:t>交货时间及地点</w:t>
      </w:r>
      <w:bookmarkEnd w:id="26"/>
      <w:proofErr w:type="spellEnd"/>
    </w:p>
    <w:p w:rsidR="0004038A" w:rsidRPr="008E0FC3" w:rsidRDefault="0004038A" w:rsidP="0004038A">
      <w:pPr>
        <w:spacing w:line="440" w:lineRule="exact"/>
        <w:ind w:firstLine="405"/>
        <w:rPr>
          <w:rFonts w:ascii="宋体" w:hint="eastAsia"/>
          <w:szCs w:val="21"/>
        </w:rPr>
      </w:pPr>
      <w:r w:rsidRPr="008E0FC3">
        <w:rPr>
          <w:rFonts w:ascii="宋体" w:hint="eastAsia"/>
          <w:szCs w:val="21"/>
        </w:rPr>
        <w:t>合同签订后</w:t>
      </w:r>
      <w:r w:rsidRPr="008E0FC3">
        <w:rPr>
          <w:rFonts w:ascii="宋体" w:hint="eastAsia"/>
          <w:szCs w:val="21"/>
          <w:u w:val="single"/>
        </w:rPr>
        <w:t>30</w:t>
      </w:r>
      <w:r w:rsidRPr="008E0FC3">
        <w:rPr>
          <w:rFonts w:ascii="宋体" w:hint="eastAsia"/>
          <w:szCs w:val="21"/>
        </w:rPr>
        <w:t>日内交货，送至西南交通大学</w:t>
      </w:r>
      <w:proofErr w:type="gramStart"/>
      <w:r w:rsidRPr="008E0FC3">
        <w:rPr>
          <w:rFonts w:ascii="宋体" w:hint="eastAsia"/>
          <w:szCs w:val="21"/>
        </w:rPr>
        <w:t>犀</w:t>
      </w:r>
      <w:proofErr w:type="gramEnd"/>
      <w:r w:rsidRPr="008E0FC3">
        <w:rPr>
          <w:rFonts w:ascii="宋体" w:hint="eastAsia"/>
          <w:szCs w:val="21"/>
        </w:rPr>
        <w:t>浦校区9号教学</w:t>
      </w:r>
      <w:proofErr w:type="gramStart"/>
      <w:r w:rsidRPr="008E0FC3">
        <w:rPr>
          <w:rFonts w:ascii="宋体" w:hint="eastAsia"/>
          <w:szCs w:val="21"/>
        </w:rPr>
        <w:t>楼用户</w:t>
      </w:r>
      <w:proofErr w:type="gramEnd"/>
      <w:r w:rsidRPr="008E0FC3">
        <w:rPr>
          <w:rFonts w:ascii="宋体" w:hint="eastAsia"/>
          <w:szCs w:val="21"/>
        </w:rPr>
        <w:t>指定实验室。</w:t>
      </w:r>
    </w:p>
    <w:p w:rsidR="0004038A" w:rsidRPr="008E0FC3" w:rsidRDefault="0004038A" w:rsidP="0004038A">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Start w:id="34" w:name="_Toc272742829"/>
      <w:bookmarkStart w:id="35" w:name="_Toc417566441"/>
      <w:bookmarkStart w:id="36" w:name="_Toc167588961"/>
      <w:bookmarkEnd w:id="6"/>
      <w:bookmarkEnd w:id="7"/>
      <w:bookmarkEnd w:id="8"/>
      <w:bookmarkEnd w:id="9"/>
      <w:bookmarkEnd w:id="10"/>
      <w:bookmarkEnd w:id="11"/>
      <w:bookmarkEnd w:id="12"/>
      <w:bookmarkEnd w:id="13"/>
      <w:bookmarkEnd w:id="14"/>
      <w:bookmarkEnd w:id="15"/>
      <w:bookmarkEnd w:id="17"/>
      <w:proofErr w:type="spellStart"/>
      <w:r w:rsidRPr="008E0FC3">
        <w:rPr>
          <w:rFonts w:hint="eastAsia"/>
          <w:bCs w:val="0"/>
          <w:color w:val="auto"/>
          <w:sz w:val="21"/>
          <w:szCs w:val="21"/>
        </w:rPr>
        <w:t>质量保证期</w:t>
      </w:r>
      <w:bookmarkEnd w:id="34"/>
      <w:bookmarkEnd w:id="35"/>
      <w:bookmarkEnd w:id="36"/>
      <w:proofErr w:type="spellEnd"/>
    </w:p>
    <w:p w:rsidR="0004038A" w:rsidRPr="008E0FC3" w:rsidRDefault="0004038A" w:rsidP="0004038A">
      <w:pPr>
        <w:tabs>
          <w:tab w:val="left" w:pos="0"/>
        </w:tabs>
        <w:spacing w:line="440" w:lineRule="exact"/>
        <w:ind w:firstLineChars="202" w:firstLine="424"/>
        <w:rPr>
          <w:rFonts w:hint="eastAsia"/>
          <w:szCs w:val="21"/>
        </w:rPr>
      </w:pPr>
      <w:r w:rsidRPr="008E0FC3">
        <w:rPr>
          <w:rFonts w:ascii="宋体" w:hAnsi="宋体" w:hint="eastAsia"/>
          <w:szCs w:val="21"/>
        </w:rPr>
        <w:t>本项目的硬件系统和软件系统的质量保证期为自验收通过之日起5年，对同类软件提供5年免费升级服务</w:t>
      </w:r>
      <w:r w:rsidRPr="008E0FC3">
        <w:rPr>
          <w:rFonts w:hint="eastAsia"/>
          <w:szCs w:val="21"/>
        </w:rPr>
        <w:t>。</w:t>
      </w:r>
    </w:p>
    <w:bookmarkEnd w:id="31"/>
    <w:bookmarkEnd w:id="32"/>
    <w:bookmarkEnd w:id="33"/>
    <w:p w:rsidR="0004038A" w:rsidRPr="008E0FC3" w:rsidRDefault="0004038A" w:rsidP="0004038A">
      <w:pPr>
        <w:pStyle w:val="3"/>
        <w:numPr>
          <w:ilvl w:val="2"/>
          <w:numId w:val="2"/>
        </w:numPr>
        <w:tabs>
          <w:tab w:val="left" w:pos="709"/>
        </w:tabs>
        <w:spacing w:before="260" w:after="260" w:line="440" w:lineRule="exact"/>
        <w:ind w:left="567" w:hanging="567"/>
        <w:jc w:val="left"/>
        <w:rPr>
          <w:rFonts w:hint="eastAsia"/>
          <w:bCs w:val="0"/>
          <w:color w:val="auto"/>
          <w:sz w:val="21"/>
          <w:szCs w:val="21"/>
        </w:rPr>
      </w:pPr>
      <w:r w:rsidRPr="008E0FC3">
        <w:rPr>
          <w:rFonts w:hint="eastAsia"/>
          <w:bCs w:val="0"/>
          <w:color w:val="auto"/>
          <w:sz w:val="21"/>
          <w:szCs w:val="21"/>
          <w:lang w:eastAsia="zh-CN"/>
        </w:rPr>
        <w:lastRenderedPageBreak/>
        <w:t>售后服务要求</w:t>
      </w:r>
    </w:p>
    <w:p w:rsidR="0004038A" w:rsidRPr="008E0FC3" w:rsidRDefault="0004038A" w:rsidP="0004038A">
      <w:pPr>
        <w:numPr>
          <w:ilvl w:val="0"/>
          <w:numId w:val="6"/>
        </w:numPr>
        <w:snapToGrid w:val="0"/>
        <w:spacing w:line="360" w:lineRule="auto"/>
        <w:jc w:val="left"/>
        <w:rPr>
          <w:rFonts w:ascii="宋体" w:hAnsi="宋体"/>
          <w:szCs w:val="21"/>
        </w:rPr>
      </w:pPr>
      <w:r w:rsidRPr="008E0FC3">
        <w:rPr>
          <w:rFonts w:ascii="宋体" w:hAnsi="宋体" w:hint="eastAsia"/>
          <w:szCs w:val="21"/>
        </w:rPr>
        <w:t>质保期内，投标人免费提供所有硬件设备的维修及软件维护、升级等技术支持服务。所有设备维修服务、软件维护、升级均为上门服务，由此产生的费用均不再收取；</w:t>
      </w:r>
    </w:p>
    <w:p w:rsidR="0004038A" w:rsidRPr="008E0FC3" w:rsidRDefault="0004038A" w:rsidP="0004038A">
      <w:pPr>
        <w:numPr>
          <w:ilvl w:val="0"/>
          <w:numId w:val="6"/>
        </w:numPr>
        <w:snapToGrid w:val="0"/>
        <w:spacing w:line="360" w:lineRule="auto"/>
        <w:jc w:val="left"/>
        <w:rPr>
          <w:rFonts w:ascii="宋体" w:hAnsi="宋体"/>
          <w:szCs w:val="21"/>
        </w:rPr>
      </w:pPr>
      <w:r w:rsidRPr="008E0FC3">
        <w:rPr>
          <w:rFonts w:ascii="宋体" w:hAnsi="宋体" w:hint="eastAsia"/>
          <w:szCs w:val="21"/>
        </w:rPr>
        <w:t>设备故障报修的响应时间：在接到报修通知后，投标人应在4个小时内</w:t>
      </w:r>
      <w:proofErr w:type="gramStart"/>
      <w:r w:rsidRPr="008E0FC3">
        <w:rPr>
          <w:rFonts w:ascii="宋体" w:hAnsi="宋体" w:hint="eastAsia"/>
          <w:szCs w:val="21"/>
        </w:rPr>
        <w:t>作出</w:t>
      </w:r>
      <w:proofErr w:type="gramEnd"/>
      <w:r w:rsidRPr="008E0FC3">
        <w:rPr>
          <w:rFonts w:ascii="宋体" w:hAnsi="宋体" w:hint="eastAsia"/>
          <w:szCs w:val="21"/>
        </w:rPr>
        <w:t>响应，对于影响设备正常运行的严重故障，投标人工程师及其他相关技术人员必须在1周内赶到现场，查找原因，提供解决方案，并工作直至故障完全恢复正常服务为止，对无法修复的，必须在2周内提供性能相当的产品供买方使用；</w:t>
      </w:r>
    </w:p>
    <w:p w:rsidR="0004038A" w:rsidRPr="008E0FC3" w:rsidRDefault="0004038A" w:rsidP="0004038A">
      <w:pPr>
        <w:numPr>
          <w:ilvl w:val="0"/>
          <w:numId w:val="6"/>
        </w:numPr>
        <w:snapToGrid w:val="0"/>
        <w:spacing w:line="360" w:lineRule="auto"/>
        <w:jc w:val="left"/>
        <w:rPr>
          <w:rFonts w:ascii="宋体" w:hAnsi="宋体"/>
          <w:szCs w:val="21"/>
        </w:rPr>
      </w:pPr>
      <w:r w:rsidRPr="008E0FC3">
        <w:rPr>
          <w:rFonts w:ascii="宋体" w:hAnsi="宋体" w:hint="eastAsia"/>
          <w:szCs w:val="21"/>
        </w:rPr>
        <w:t>投标人应保证合同项下所发产品完全是崭新的未曾使用过的且所有部件的生产日期为近一年内。在质量保证期内，投标人应负责修理和替换不合格的部件并承担相关费用，包括部件调换的内陆运输费用，急用部件应免费空运；</w:t>
      </w:r>
    </w:p>
    <w:p w:rsidR="0004038A" w:rsidRPr="008E0FC3" w:rsidRDefault="0004038A" w:rsidP="0004038A">
      <w:pPr>
        <w:numPr>
          <w:ilvl w:val="0"/>
          <w:numId w:val="6"/>
        </w:numPr>
        <w:snapToGrid w:val="0"/>
        <w:spacing w:line="360" w:lineRule="auto"/>
        <w:jc w:val="left"/>
        <w:rPr>
          <w:rFonts w:ascii="宋体" w:hAnsi="宋体" w:hint="eastAsia"/>
          <w:szCs w:val="21"/>
        </w:rPr>
      </w:pPr>
      <w:r w:rsidRPr="008E0FC3">
        <w:rPr>
          <w:rFonts w:ascii="宋体" w:hAnsi="宋体" w:hint="eastAsia"/>
          <w:szCs w:val="21"/>
        </w:rPr>
        <w:t>质保期后，应提供系统扩充、软件升级及维修方面的技术支持服务；</w:t>
      </w:r>
    </w:p>
    <w:p w:rsidR="0004038A" w:rsidRPr="008E0FC3" w:rsidRDefault="0004038A" w:rsidP="0004038A">
      <w:pPr>
        <w:numPr>
          <w:ilvl w:val="0"/>
          <w:numId w:val="6"/>
        </w:numPr>
        <w:snapToGrid w:val="0"/>
        <w:spacing w:line="360" w:lineRule="auto"/>
        <w:jc w:val="left"/>
        <w:rPr>
          <w:rFonts w:ascii="宋体" w:hAnsi="宋体" w:hint="eastAsia"/>
          <w:szCs w:val="21"/>
        </w:rPr>
      </w:pPr>
      <w:r w:rsidRPr="008E0FC3">
        <w:rPr>
          <w:rFonts w:ascii="宋体" w:hAnsi="宋体" w:hint="eastAsia"/>
          <w:szCs w:val="21"/>
        </w:rPr>
        <w:t>投标人应提供详细的、针对于高校的售后服务计划</w:t>
      </w:r>
      <w:r w:rsidRPr="008E0FC3">
        <w:rPr>
          <w:rFonts w:hint="eastAsia"/>
          <w:szCs w:val="21"/>
        </w:rPr>
        <w:t>。</w:t>
      </w:r>
    </w:p>
    <w:p w:rsidR="0004038A" w:rsidRPr="008E0FC3" w:rsidRDefault="0004038A" w:rsidP="0004038A">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8E0FC3">
        <w:rPr>
          <w:rFonts w:hint="eastAsia"/>
          <w:bCs w:val="0"/>
          <w:color w:val="auto"/>
          <w:sz w:val="21"/>
          <w:szCs w:val="21"/>
        </w:rPr>
        <w:t>最高限价</w:t>
      </w:r>
      <w:bookmarkEnd w:id="37"/>
      <w:proofErr w:type="spellEnd"/>
    </w:p>
    <w:p w:rsidR="0004038A" w:rsidRPr="008E0FC3" w:rsidRDefault="0004038A" w:rsidP="0004038A">
      <w:pPr>
        <w:spacing w:line="440" w:lineRule="exact"/>
        <w:ind w:firstLineChars="152" w:firstLine="319"/>
        <w:rPr>
          <w:rFonts w:ascii="宋体" w:hAnsi="Courier New" w:hint="eastAsia"/>
          <w:szCs w:val="21"/>
        </w:rPr>
      </w:pPr>
      <w:r w:rsidRPr="008E0FC3">
        <w:rPr>
          <w:rFonts w:ascii="宋体" w:hAnsi="Courier New" w:hint="eastAsia"/>
          <w:szCs w:val="21"/>
        </w:rPr>
        <w:t>★本项目最高限价为人民币</w:t>
      </w:r>
      <w:r w:rsidRPr="008E0FC3">
        <w:rPr>
          <w:rFonts w:ascii="宋体" w:hAnsi="Courier New" w:hint="eastAsia"/>
          <w:szCs w:val="21"/>
          <w:u w:val="single"/>
        </w:rPr>
        <w:t>91.2</w:t>
      </w:r>
      <w:r w:rsidRPr="008E0FC3">
        <w:rPr>
          <w:rFonts w:ascii="宋体" w:hAnsi="Courier New" w:hint="eastAsia"/>
          <w:szCs w:val="21"/>
        </w:rPr>
        <w:t>万元，投标人的投标报价高于最高限价的，则其投标文件按无效投标文件处理。</w:t>
      </w:r>
    </w:p>
    <w:p w:rsidR="0004038A" w:rsidRPr="008E0FC3" w:rsidRDefault="0004038A" w:rsidP="0004038A">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8E0FC3">
        <w:rPr>
          <w:rFonts w:hint="eastAsia"/>
          <w:bCs w:val="0"/>
          <w:color w:val="auto"/>
          <w:sz w:val="21"/>
          <w:szCs w:val="21"/>
        </w:rPr>
        <w:t>验收标准</w:t>
      </w:r>
      <w:bookmarkEnd w:id="38"/>
      <w:proofErr w:type="spellEnd"/>
    </w:p>
    <w:p w:rsidR="0004038A" w:rsidRPr="008E0FC3" w:rsidRDefault="0004038A" w:rsidP="0004038A">
      <w:pPr>
        <w:numPr>
          <w:ilvl w:val="0"/>
          <w:numId w:val="4"/>
        </w:numPr>
        <w:tabs>
          <w:tab w:val="left" w:pos="851"/>
          <w:tab w:val="left" w:pos="993"/>
        </w:tabs>
        <w:adjustRightInd w:val="0"/>
        <w:snapToGrid w:val="0"/>
        <w:spacing w:line="360" w:lineRule="auto"/>
        <w:ind w:left="0" w:firstLine="426"/>
        <w:rPr>
          <w:rFonts w:ascii="宋体" w:hAnsi="宋体"/>
          <w:szCs w:val="21"/>
        </w:rPr>
      </w:pPr>
      <w:r w:rsidRPr="008E0FC3">
        <w:rPr>
          <w:rFonts w:ascii="宋体" w:hAnsi="宋体" w:hint="eastAsia"/>
          <w:szCs w:val="21"/>
        </w:rPr>
        <w:t>货物到达现场后，供应商应在采购人在场情况下当面开包，共同清点、检查外观，</w:t>
      </w:r>
      <w:proofErr w:type="gramStart"/>
      <w:r w:rsidRPr="008E0FC3">
        <w:rPr>
          <w:rFonts w:ascii="宋体" w:hAnsi="宋体" w:hint="eastAsia"/>
          <w:szCs w:val="21"/>
        </w:rPr>
        <w:t>作出</w:t>
      </w:r>
      <w:proofErr w:type="gramEnd"/>
      <w:r w:rsidRPr="008E0FC3">
        <w:rPr>
          <w:rFonts w:ascii="宋体" w:hAnsi="宋体" w:hint="eastAsia"/>
          <w:szCs w:val="21"/>
        </w:rPr>
        <w:t>验货记录，双方签字确认后开始安装调试。</w:t>
      </w:r>
    </w:p>
    <w:p w:rsidR="0004038A" w:rsidRPr="008E0FC3" w:rsidRDefault="0004038A" w:rsidP="0004038A">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成交供应商应保证货物到达采购人所在地完好无损，如有缺漏、损坏，由供应商负责调换、补齐或赔偿。</w:t>
      </w:r>
    </w:p>
    <w:p w:rsidR="0004038A" w:rsidRPr="008E0FC3" w:rsidRDefault="0004038A" w:rsidP="0004038A">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4038A" w:rsidRPr="008E0FC3" w:rsidRDefault="0004038A" w:rsidP="000403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产品技术参数与采购合同一致，性能指标达到规定的标准；</w:t>
      </w:r>
    </w:p>
    <w:p w:rsidR="0004038A" w:rsidRPr="008E0FC3" w:rsidRDefault="0004038A" w:rsidP="000403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产品技术资料、装箱单、授权文件等资料齐全；</w:t>
      </w:r>
    </w:p>
    <w:p w:rsidR="0004038A" w:rsidRPr="008E0FC3" w:rsidRDefault="0004038A" w:rsidP="000403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在产品（系统）试运行期间所出现的问题得到解决，并运行正常；</w:t>
      </w:r>
    </w:p>
    <w:p w:rsidR="0004038A" w:rsidRPr="008E0FC3" w:rsidRDefault="0004038A" w:rsidP="000403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E0FC3">
        <w:rPr>
          <w:rFonts w:ascii="宋体" w:hAnsi="宋体" w:hint="eastAsia"/>
          <w:szCs w:val="21"/>
        </w:rPr>
        <w:t>在规定时间内完成交货并验收，并经采购人确认。</w:t>
      </w:r>
    </w:p>
    <w:p w:rsidR="0004038A" w:rsidRPr="008E0FC3" w:rsidRDefault="0004038A" w:rsidP="0004038A">
      <w:pPr>
        <w:numPr>
          <w:ilvl w:val="0"/>
          <w:numId w:val="4"/>
        </w:numPr>
        <w:tabs>
          <w:tab w:val="left" w:pos="851"/>
          <w:tab w:val="left" w:pos="993"/>
        </w:tabs>
        <w:adjustRightInd w:val="0"/>
        <w:snapToGrid w:val="0"/>
        <w:spacing w:line="360" w:lineRule="auto"/>
        <w:ind w:left="0" w:firstLine="426"/>
        <w:rPr>
          <w:rFonts w:hint="eastAsia"/>
          <w:szCs w:val="21"/>
          <w:lang/>
        </w:rPr>
      </w:pPr>
      <w:r w:rsidRPr="008E0FC3">
        <w:rPr>
          <w:rFonts w:ascii="宋体" w:hAnsi="宋体" w:hint="eastAsia"/>
          <w:szCs w:val="21"/>
        </w:rPr>
        <w:t>产品在部署调试并试运行符合要求后，才作为最终验收。</w:t>
      </w:r>
    </w:p>
    <w:p w:rsidR="0004038A" w:rsidRPr="008E0FC3" w:rsidRDefault="0004038A" w:rsidP="0004038A">
      <w:pPr>
        <w:numPr>
          <w:ilvl w:val="0"/>
          <w:numId w:val="4"/>
        </w:numPr>
        <w:tabs>
          <w:tab w:val="left" w:pos="851"/>
          <w:tab w:val="left" w:pos="993"/>
        </w:tabs>
        <w:adjustRightInd w:val="0"/>
        <w:snapToGrid w:val="0"/>
        <w:spacing w:line="360" w:lineRule="auto"/>
        <w:ind w:left="0" w:firstLine="426"/>
        <w:rPr>
          <w:rFonts w:ascii="宋体" w:hAnsi="宋体"/>
          <w:szCs w:val="21"/>
        </w:rPr>
      </w:pPr>
      <w:r w:rsidRPr="008E0FC3">
        <w:rPr>
          <w:rFonts w:ascii="宋体" w:hAnsi="宋体" w:hint="eastAsia"/>
          <w:szCs w:val="21"/>
        </w:rPr>
        <w:t>采购人对供应商交付的产品（包括质量、技术参数等）进行确认，并出具书面验收意见。</w:t>
      </w:r>
    </w:p>
    <w:p w:rsidR="0004038A" w:rsidRPr="008E0FC3" w:rsidRDefault="0004038A" w:rsidP="0004038A">
      <w:pPr>
        <w:pStyle w:val="2"/>
        <w:keepLines w:val="0"/>
        <w:numPr>
          <w:ilvl w:val="1"/>
          <w:numId w:val="3"/>
        </w:numPr>
        <w:spacing w:line="440" w:lineRule="exact"/>
        <w:ind w:left="0" w:firstLine="0"/>
        <w:rPr>
          <w:rFonts w:hint="eastAsia"/>
          <w:sz w:val="21"/>
          <w:szCs w:val="21"/>
        </w:rPr>
      </w:pPr>
      <w:bookmarkStart w:id="39" w:name="_Toc448156597"/>
      <w:proofErr w:type="spellStart"/>
      <w:r w:rsidRPr="008E0FC3">
        <w:rPr>
          <w:rFonts w:hint="eastAsia"/>
          <w:sz w:val="21"/>
          <w:szCs w:val="21"/>
        </w:rPr>
        <w:lastRenderedPageBreak/>
        <w:t>其他要求</w:t>
      </w:r>
      <w:bookmarkEnd w:id="39"/>
      <w:proofErr w:type="spellEnd"/>
    </w:p>
    <w:p w:rsidR="0004038A" w:rsidRPr="008E0FC3" w:rsidRDefault="0004038A" w:rsidP="0004038A">
      <w:pPr>
        <w:spacing w:line="440" w:lineRule="exact"/>
        <w:ind w:firstLineChars="152" w:firstLine="319"/>
        <w:rPr>
          <w:rFonts w:ascii="宋体" w:hAnsi="宋体" w:hint="eastAsia"/>
          <w:szCs w:val="21"/>
        </w:rPr>
      </w:pPr>
      <w:r w:rsidRPr="008E0FC3">
        <w:rPr>
          <w:rFonts w:ascii="宋体" w:hAnsi="Courier New" w:hint="eastAsia"/>
          <w:szCs w:val="21"/>
        </w:rPr>
        <w:t>★</w:t>
      </w:r>
      <w:r w:rsidRPr="008E0FC3">
        <w:rPr>
          <w:rFonts w:ascii="宋体" w:hAnsi="宋体" w:cs="宋体" w:hint="eastAsia"/>
          <w:szCs w:val="21"/>
        </w:rPr>
        <w:t>投标人非生产厂家时，必须提供设备生产厂商针对本项目的授权和售后服务承诺函原件。</w:t>
      </w:r>
    </w:p>
    <w:p w:rsidR="00C62726" w:rsidRDefault="0004038A" w:rsidP="0004038A">
      <w:bookmarkStart w:id="40" w:name="_Toc320624224"/>
      <w:bookmarkStart w:id="41" w:name="_Toc338233629"/>
      <w:bookmarkStart w:id="42" w:name="_Toc338233630"/>
      <w:bookmarkStart w:id="43" w:name="_Toc338233631"/>
      <w:bookmarkStart w:id="44" w:name="_Toc338233632"/>
      <w:bookmarkStart w:id="45" w:name="_Toc315871092"/>
      <w:bookmarkStart w:id="46" w:name="_Toc315871128"/>
      <w:bookmarkStart w:id="47" w:name="_Toc315871129"/>
      <w:bookmarkStart w:id="48" w:name="_Toc315871130"/>
      <w:bookmarkStart w:id="49" w:name="_Toc315871131"/>
      <w:bookmarkStart w:id="50" w:name="_Toc315871132"/>
      <w:bookmarkStart w:id="51" w:name="_Toc315871133"/>
      <w:bookmarkStart w:id="52" w:name="_Toc315871134"/>
      <w:bookmarkStart w:id="53" w:name="_Toc315871135"/>
      <w:bookmarkStart w:id="54" w:name="_Toc315871136"/>
      <w:bookmarkStart w:id="55" w:name="_Toc316291610"/>
      <w:bookmarkStart w:id="56" w:name="_Toc316292239"/>
      <w:bookmarkStart w:id="57" w:name="_Toc316291611"/>
      <w:bookmarkStart w:id="58" w:name="_Toc316292240"/>
      <w:bookmarkStart w:id="59" w:name="_Toc316291612"/>
      <w:bookmarkStart w:id="60" w:name="_Toc316292241"/>
      <w:bookmarkStart w:id="61" w:name="_Toc315871139"/>
      <w:bookmarkStart w:id="62" w:name="_Toc315871140"/>
      <w:bookmarkStart w:id="63" w:name="_Toc315871141"/>
      <w:bookmarkStart w:id="64" w:name="_Toc315871223"/>
      <w:bookmarkStart w:id="65" w:name="_Toc315871235"/>
      <w:bookmarkStart w:id="66" w:name="_Toc315871243"/>
      <w:bookmarkStart w:id="67" w:name="_Toc315871247"/>
      <w:bookmarkStart w:id="68" w:name="_Toc315871303"/>
      <w:bookmarkStart w:id="69" w:name="_Toc315871307"/>
      <w:bookmarkStart w:id="70" w:name="_Toc315871311"/>
      <w:bookmarkStart w:id="71" w:name="_Toc315871319"/>
      <w:bookmarkStart w:id="72" w:name="_Toc315871351"/>
      <w:bookmarkStart w:id="73" w:name="_Toc315871357"/>
      <w:bookmarkStart w:id="74" w:name="_Toc315871363"/>
      <w:bookmarkStart w:id="75" w:name="_Toc315871451"/>
      <w:bookmarkStart w:id="76" w:name="_Toc315871452"/>
      <w:bookmarkStart w:id="77" w:name="_Toc315871540"/>
      <w:bookmarkStart w:id="78" w:name="_Toc315871573"/>
      <w:bookmarkStart w:id="79" w:name="_Toc315871574"/>
      <w:bookmarkStart w:id="80" w:name="_Toc315871575"/>
      <w:bookmarkStart w:id="81" w:name="_Toc315871609"/>
      <w:bookmarkStart w:id="82" w:name="_Toc315871619"/>
      <w:bookmarkStart w:id="83" w:name="_Toc315871620"/>
      <w:bookmarkStart w:id="84" w:name="_Toc315871622"/>
      <w:bookmarkStart w:id="85" w:name="_Toc315871623"/>
      <w:bookmarkStart w:id="86" w:name="_Toc315871624"/>
      <w:bookmarkStart w:id="87" w:name="_Toc315871625"/>
      <w:bookmarkStart w:id="88" w:name="_Toc315871626"/>
      <w:bookmarkStart w:id="89" w:name="_Toc315871627"/>
      <w:bookmarkStart w:id="90" w:name="_Toc315871628"/>
      <w:bookmarkStart w:id="91" w:name="_Toc315871629"/>
      <w:bookmarkStart w:id="92" w:name="_Toc315871630"/>
      <w:bookmarkStart w:id="93" w:name="_Toc315871631"/>
      <w:bookmarkStart w:id="94" w:name="_Toc315871632"/>
      <w:bookmarkStart w:id="95" w:name="_Toc315871633"/>
      <w:bookmarkStart w:id="96" w:name="_Toc315871634"/>
      <w:bookmarkStart w:id="97" w:name="_Toc315871635"/>
      <w:bookmarkStart w:id="98" w:name="_Toc315871636"/>
      <w:bookmarkStart w:id="99" w:name="_Toc315871637"/>
      <w:bookmarkStart w:id="100" w:name="_Toc321396066"/>
      <w:bookmarkStart w:id="101" w:name="_Toc323736005"/>
      <w:bookmarkStart w:id="102" w:name="_Toc316475642"/>
      <w:bookmarkStart w:id="103" w:name="_Toc316475738"/>
      <w:bookmarkStart w:id="104" w:name="_Toc316475643"/>
      <w:bookmarkStart w:id="105" w:name="_Toc316475739"/>
      <w:bookmarkStart w:id="106" w:name="_Toc316475644"/>
      <w:bookmarkStart w:id="107" w:name="_Toc316475740"/>
      <w:bookmarkStart w:id="108" w:name="_Toc316475645"/>
      <w:bookmarkStart w:id="109" w:name="_Toc316475741"/>
      <w:bookmarkStart w:id="110" w:name="_Toc338233514"/>
      <w:bookmarkStart w:id="111" w:name="_Toc338233515"/>
      <w:bookmarkStart w:id="112" w:name="_Toc338233516"/>
      <w:bookmarkStart w:id="113" w:name="_Toc338233565"/>
      <w:bookmarkStart w:id="114" w:name="_Toc338233566"/>
      <w:bookmarkStart w:id="115" w:name="_Toc338233567"/>
      <w:bookmarkStart w:id="116" w:name="_Toc338233568"/>
      <w:bookmarkStart w:id="117" w:name="_Toc338233569"/>
      <w:bookmarkStart w:id="118" w:name="_Toc338233621"/>
      <w:bookmarkStart w:id="119" w:name="_Toc338233622"/>
      <w:bookmarkStart w:id="120" w:name="_Toc338233623"/>
      <w:bookmarkStart w:id="121" w:name="_Toc338233624"/>
      <w:bookmarkStart w:id="122" w:name="_Toc338233625"/>
      <w:bookmarkStart w:id="123" w:name="_Toc338233626"/>
      <w:bookmarkStart w:id="124" w:name="_Toc338233627"/>
      <w:bookmarkStart w:id="125" w:name="_Toc338233628"/>
      <w:bookmarkStart w:id="126" w:name="_Toc320624215"/>
      <w:bookmarkStart w:id="127" w:name="_Toc320624216"/>
      <w:bookmarkStart w:id="128" w:name="_Toc320624217"/>
      <w:bookmarkStart w:id="129" w:name="_Toc320624218"/>
      <w:bookmarkStart w:id="130" w:name="_Toc320624219"/>
      <w:bookmarkStart w:id="131" w:name="_Toc320624220"/>
      <w:bookmarkStart w:id="132" w:name="_Toc320624221"/>
      <w:bookmarkStart w:id="133" w:name="_Toc320624222"/>
      <w:bookmarkStart w:id="134" w:name="_Toc320624223"/>
      <w:bookmarkStart w:id="135" w:name="_Toc320624214"/>
      <w:bookmarkStart w:id="136" w:name="_Toc320624213"/>
      <w:bookmarkStart w:id="137" w:name="_Toc3206242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E0FC3">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676E838E"/>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E7B84E"/>
    <w:multiLevelType w:val="singleLevel"/>
    <w:tmpl w:val="56E7B84E"/>
    <w:lvl w:ilvl="0">
      <w:start w:val="1"/>
      <w:numFmt w:val="decimal"/>
      <w:lvlText w:val="%1)"/>
      <w:lvlJc w:val="left"/>
      <w:pPr>
        <w:tabs>
          <w:tab w:val="left" w:pos="425"/>
        </w:tabs>
        <w:ind w:left="425" w:hanging="425"/>
      </w:pPr>
      <w:rPr>
        <w:rFont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38A"/>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38A"/>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8A"/>
    <w:pPr>
      <w:widowControl w:val="0"/>
      <w:jc w:val="both"/>
    </w:pPr>
    <w:rPr>
      <w:rFonts w:ascii="Calibri" w:eastAsia="宋体" w:hAnsi="Calibri" w:cs="Times New Roman"/>
    </w:rPr>
  </w:style>
  <w:style w:type="paragraph" w:styleId="1">
    <w:name w:val="heading 1"/>
    <w:basedOn w:val="a"/>
    <w:next w:val="a"/>
    <w:link w:val="1Char"/>
    <w:qFormat/>
    <w:rsid w:val="0004038A"/>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04038A"/>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04038A"/>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038A"/>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04038A"/>
    <w:rPr>
      <w:rFonts w:ascii="宋体" w:eastAsia="宋体" w:hAnsi="宋体" w:cs="Times New Roman"/>
      <w:b/>
      <w:bCs/>
      <w:sz w:val="28"/>
      <w:szCs w:val="28"/>
      <w:lang/>
    </w:rPr>
  </w:style>
  <w:style w:type="character" w:customStyle="1" w:styleId="3Char">
    <w:name w:val="标题 3 Char"/>
    <w:basedOn w:val="a0"/>
    <w:link w:val="3"/>
    <w:rsid w:val="0004038A"/>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2016-04-12T03:43:00Z</dcterms:created>
  <dcterms:modified xsi:type="dcterms:W3CDTF">2016-04-12T03:44:00Z</dcterms:modified>
</cp:coreProperties>
</file>