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91" w:rsidRDefault="00807B91" w:rsidP="00807B91">
      <w:pPr>
        <w:pStyle w:val="1"/>
        <w:numPr>
          <w:ilvl w:val="0"/>
          <w:numId w:val="21"/>
        </w:numPr>
      </w:pPr>
      <w:bookmarkStart w:id="0" w:name="_Toc478378004"/>
      <w:r>
        <w:rPr>
          <w:rFonts w:hint="eastAsia"/>
        </w:rPr>
        <w:t>技术、商务及其他要求</w:t>
      </w:r>
      <w:bookmarkEnd w:id="0"/>
    </w:p>
    <w:p w:rsidR="00807B91" w:rsidRDefault="00807B91" w:rsidP="00807B91">
      <w:pPr>
        <w:pStyle w:val="2"/>
        <w:numPr>
          <w:ilvl w:val="1"/>
          <w:numId w:val="21"/>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807B91" w:rsidTr="00807B91">
        <w:tc>
          <w:tcPr>
            <w:tcW w:w="82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b/>
                <w:szCs w:val="21"/>
              </w:rPr>
            </w:pPr>
            <w:r>
              <w:rPr>
                <w:rFonts w:hint="eastAsia"/>
                <w:b/>
                <w:szCs w:val="21"/>
              </w:rPr>
              <w:t>数量</w:t>
            </w:r>
          </w:p>
        </w:tc>
      </w:tr>
      <w:tr w:rsidR="00807B91" w:rsidTr="00807B91">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807B91" w:rsidRDefault="00807B91">
            <w:pPr>
              <w:rPr>
                <w:rFonts w:ascii="宋体" w:hAnsi="宋体" w:cs="宋体"/>
                <w:szCs w:val="21"/>
              </w:rPr>
            </w:pPr>
            <w:r>
              <w:rPr>
                <w:rFonts w:ascii="宋体" w:hAnsi="宋体" w:cs="宋体" w:hint="eastAsia"/>
                <w:szCs w:val="21"/>
              </w:rPr>
              <w:t>时间分辨 ICCD相机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rFonts w:ascii="宋体" w:hAnsi="宋体" w:cs="宋体"/>
                <w:szCs w:val="21"/>
              </w:rPr>
            </w:pPr>
            <w:r>
              <w:rPr>
                <w:rFonts w:ascii="宋体" w:hAnsi="宋体" w:cs="宋体" w:hint="eastAsia"/>
                <w:szCs w:val="21"/>
              </w:rPr>
              <w:t>1套</w:t>
            </w:r>
          </w:p>
        </w:tc>
      </w:tr>
    </w:tbl>
    <w:p w:rsidR="00807B91" w:rsidRDefault="00807B91" w:rsidP="00807B91">
      <w:pPr>
        <w:pStyle w:val="2"/>
        <w:numPr>
          <w:ilvl w:val="1"/>
          <w:numId w:val="21"/>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807B91" w:rsidRDefault="00807B91" w:rsidP="00807B91">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7938"/>
      </w:tblGrid>
      <w:tr w:rsidR="00807B91" w:rsidTr="00807B91">
        <w:tc>
          <w:tcPr>
            <w:tcW w:w="675" w:type="dxa"/>
            <w:tcBorders>
              <w:top w:val="single" w:sz="4" w:space="0" w:color="auto"/>
              <w:left w:val="single" w:sz="4" w:space="0" w:color="auto"/>
              <w:bottom w:val="single" w:sz="4" w:space="0" w:color="auto"/>
              <w:right w:val="single" w:sz="4" w:space="0" w:color="auto"/>
            </w:tcBorders>
            <w:vAlign w:val="center"/>
            <w:hideMark/>
          </w:tcPr>
          <w:p w:rsidR="00807B91" w:rsidRDefault="00807B91" w:rsidP="00517569">
            <w:pPr>
              <w:spacing w:beforeLines="50" w:afterLines="50"/>
              <w:jc w:val="center"/>
              <w:rPr>
                <w:b/>
              </w:rPr>
            </w:pPr>
            <w:bookmarkStart w:id="19" w:name="_Toc477248552"/>
            <w:bookmarkEnd w:id="7"/>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807B91" w:rsidRDefault="00807B91" w:rsidP="00517569">
            <w:pPr>
              <w:spacing w:beforeLines="50" w:afterLines="50"/>
              <w:jc w:val="center"/>
              <w:rPr>
                <w:b/>
              </w:rPr>
            </w:pPr>
            <w:r>
              <w:rPr>
                <w:rFonts w:hint="eastAsia"/>
                <w:b/>
              </w:rPr>
              <w:t>名称</w:t>
            </w:r>
          </w:p>
        </w:tc>
        <w:tc>
          <w:tcPr>
            <w:tcW w:w="7938" w:type="dxa"/>
            <w:tcBorders>
              <w:top w:val="single" w:sz="4" w:space="0" w:color="auto"/>
              <w:left w:val="single" w:sz="4" w:space="0" w:color="auto"/>
              <w:bottom w:val="single" w:sz="4" w:space="0" w:color="auto"/>
              <w:right w:val="single" w:sz="4" w:space="0" w:color="auto"/>
            </w:tcBorders>
            <w:vAlign w:val="center"/>
            <w:hideMark/>
          </w:tcPr>
          <w:p w:rsidR="00807B91" w:rsidRDefault="00807B91" w:rsidP="00517569">
            <w:pPr>
              <w:spacing w:beforeLines="50" w:afterLines="50"/>
              <w:jc w:val="center"/>
              <w:rPr>
                <w:b/>
              </w:rPr>
            </w:pPr>
            <w:r>
              <w:rPr>
                <w:rFonts w:hint="eastAsia"/>
                <w:b/>
              </w:rPr>
              <w:t>详细技术指标及功能需求</w:t>
            </w:r>
          </w:p>
        </w:tc>
      </w:tr>
      <w:tr w:rsidR="00807B91" w:rsidTr="00807B91">
        <w:tc>
          <w:tcPr>
            <w:tcW w:w="675" w:type="dxa"/>
            <w:tcBorders>
              <w:top w:val="single" w:sz="4" w:space="0" w:color="auto"/>
              <w:left w:val="single" w:sz="4" w:space="0" w:color="auto"/>
              <w:bottom w:val="single" w:sz="4" w:space="0" w:color="auto"/>
              <w:right w:val="single" w:sz="4" w:space="0" w:color="auto"/>
            </w:tcBorders>
            <w:vAlign w:val="center"/>
            <w:hideMark/>
          </w:tcPr>
          <w:p w:rsidR="00807B91" w:rsidRDefault="00807B91" w:rsidP="00517569">
            <w:pPr>
              <w:spacing w:beforeLines="50" w:afterLines="50"/>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07B91" w:rsidRDefault="00807B91">
            <w:pPr>
              <w:spacing w:before="312" w:after="312"/>
              <w:jc w:val="center"/>
              <w:rPr>
                <w:sz w:val="20"/>
                <w:szCs w:val="20"/>
              </w:rPr>
            </w:pPr>
            <w:r>
              <w:rPr>
                <w:rFonts w:hint="eastAsia"/>
                <w:szCs w:val="21"/>
              </w:rPr>
              <w:t>时间分辨</w:t>
            </w:r>
            <w:r>
              <w:rPr>
                <w:szCs w:val="21"/>
              </w:rPr>
              <w:t xml:space="preserve"> ICCD</w:t>
            </w:r>
            <w:r>
              <w:rPr>
                <w:rFonts w:hint="eastAsia"/>
                <w:szCs w:val="21"/>
              </w:rPr>
              <w:t>相机</w:t>
            </w:r>
          </w:p>
        </w:tc>
        <w:tc>
          <w:tcPr>
            <w:tcW w:w="7938" w:type="dxa"/>
            <w:tcBorders>
              <w:top w:val="single" w:sz="4" w:space="0" w:color="auto"/>
              <w:left w:val="single" w:sz="4" w:space="0" w:color="auto"/>
              <w:bottom w:val="single" w:sz="4" w:space="0" w:color="auto"/>
              <w:right w:val="single" w:sz="4" w:space="0" w:color="auto"/>
            </w:tcBorders>
            <w:vAlign w:val="center"/>
            <w:hideMark/>
          </w:tcPr>
          <w:p w:rsidR="00807B91" w:rsidRDefault="00807B91">
            <w:pPr>
              <w:spacing w:line="300" w:lineRule="auto"/>
            </w:pPr>
            <w:r>
              <w:rPr>
                <w:sz w:val="20"/>
                <w:szCs w:val="20"/>
              </w:rPr>
              <w:t>#</w:t>
            </w:r>
            <w:r>
              <w:rPr>
                <w:rFonts w:hint="eastAsia"/>
              </w:rPr>
              <w:t>具有高像元分辨率的</w:t>
            </w:r>
            <w:r>
              <w:t>CCD</w:t>
            </w:r>
            <w:r>
              <w:rPr>
                <w:rFonts w:hint="eastAsia"/>
              </w:rPr>
              <w:t>芯片，分辨率</w:t>
            </w:r>
            <w:r>
              <w:t>1024x1024</w:t>
            </w:r>
            <w:r>
              <w:rPr>
                <w:rFonts w:hint="eastAsia"/>
              </w:rPr>
              <w:t>，</w:t>
            </w:r>
            <w:r>
              <w:t>13x13um</w:t>
            </w:r>
            <w:r>
              <w:rPr>
                <w:rFonts w:hint="eastAsia"/>
              </w:rPr>
              <w:t>像元大小，有效芯片面积</w:t>
            </w:r>
            <w:r>
              <w:t>13.3x13.3mm</w:t>
            </w:r>
            <w:r>
              <w:rPr>
                <w:rFonts w:hint="eastAsia"/>
              </w:rPr>
              <w:t>；</w:t>
            </w:r>
          </w:p>
          <w:p w:rsidR="00807B91" w:rsidRDefault="00807B91">
            <w:pPr>
              <w:spacing w:line="300" w:lineRule="auto"/>
            </w:pPr>
            <w:r>
              <w:rPr>
                <w:sz w:val="20"/>
                <w:szCs w:val="20"/>
              </w:rPr>
              <w:t>#</w:t>
            </w:r>
            <w:r>
              <w:rPr>
                <w:rFonts w:hint="eastAsia"/>
              </w:rPr>
              <w:t>≥</w:t>
            </w:r>
            <w:r>
              <w:t>18mm</w:t>
            </w:r>
            <w:r>
              <w:rPr>
                <w:rFonts w:hint="eastAsia"/>
              </w:rPr>
              <w:t>直径像增强器；</w:t>
            </w:r>
          </w:p>
          <w:p w:rsidR="00807B91" w:rsidRDefault="00807B91">
            <w:pPr>
              <w:spacing w:line="300" w:lineRule="auto"/>
            </w:pPr>
            <w:r>
              <w:rPr>
                <w:sz w:val="20"/>
                <w:szCs w:val="20"/>
              </w:rPr>
              <w:t>#</w:t>
            </w:r>
            <w:r>
              <w:t>2</w:t>
            </w:r>
            <w:r>
              <w:rPr>
                <w:rFonts w:hint="eastAsia"/>
              </w:rPr>
              <w:t>代像增强器，紫外可见光电阴极，</w:t>
            </w:r>
            <w:r>
              <w:t>P43</w:t>
            </w:r>
            <w:r>
              <w:rPr>
                <w:rFonts w:hint="eastAsia"/>
              </w:rPr>
              <w:t>型荧光屏；</w:t>
            </w:r>
          </w:p>
          <w:p w:rsidR="00807B91" w:rsidRDefault="00807B91">
            <w:pPr>
              <w:spacing w:line="300" w:lineRule="auto"/>
            </w:pPr>
            <w:r>
              <w:rPr>
                <w:rFonts w:hint="eastAsia"/>
                <w:sz w:val="20"/>
                <w:szCs w:val="20"/>
              </w:rPr>
              <w:t>★</w:t>
            </w:r>
            <w:r>
              <w:rPr>
                <w:rFonts w:ascii="宋体" w:hAnsi="宋体" w:hint="eastAsia"/>
              </w:rPr>
              <w:t>≤</w:t>
            </w:r>
            <w:r>
              <w:t>5ns</w:t>
            </w:r>
            <w:r>
              <w:rPr>
                <w:rFonts w:hint="eastAsia"/>
              </w:rPr>
              <w:t>超快光学门宽（真实的光学门宽），最小时间分辨率</w:t>
            </w:r>
            <w:r>
              <w:t>5ns</w:t>
            </w:r>
            <w:r>
              <w:rPr>
                <w:rFonts w:hint="eastAsia"/>
              </w:rPr>
              <w:t>；</w:t>
            </w:r>
          </w:p>
          <w:p w:rsidR="00807B91" w:rsidRDefault="00807B91">
            <w:pPr>
              <w:spacing w:line="300" w:lineRule="auto"/>
            </w:pPr>
            <w:proofErr w:type="gramStart"/>
            <w:r>
              <w:rPr>
                <w:rFonts w:hint="eastAsia"/>
              </w:rPr>
              <w:t>标配</w:t>
            </w:r>
            <w:proofErr w:type="spellStart"/>
            <w:proofErr w:type="gramEnd"/>
            <w:r>
              <w:t>intelligate</w:t>
            </w:r>
            <w:proofErr w:type="spellEnd"/>
            <w:r>
              <w:rPr>
                <w:rFonts w:hint="eastAsia"/>
              </w:rPr>
              <w:t>功能，紫外波段开关比</w:t>
            </w:r>
            <w:r>
              <w:t>&gt;10E+8</w:t>
            </w:r>
            <w:r>
              <w:rPr>
                <w:rFonts w:hint="eastAsia"/>
              </w:rPr>
              <w:t>；</w:t>
            </w:r>
          </w:p>
          <w:p w:rsidR="00807B91" w:rsidRDefault="00807B91">
            <w:pPr>
              <w:spacing w:line="300" w:lineRule="auto"/>
            </w:pPr>
            <w:r>
              <w:rPr>
                <w:rFonts w:hint="eastAsia"/>
                <w:sz w:val="20"/>
                <w:szCs w:val="20"/>
              </w:rPr>
              <w:t>★</w:t>
            </w:r>
            <w:r>
              <w:rPr>
                <w:rFonts w:hint="eastAsia"/>
              </w:rPr>
              <w:t>探测器响应波长范围：</w:t>
            </w:r>
            <w:r>
              <w:t>180~850nm</w:t>
            </w:r>
            <w:r>
              <w:rPr>
                <w:rFonts w:hint="eastAsia"/>
              </w:rPr>
              <w:t>；</w:t>
            </w:r>
          </w:p>
          <w:p w:rsidR="00807B91" w:rsidRDefault="00807B91">
            <w:pPr>
              <w:spacing w:line="300" w:lineRule="auto"/>
            </w:pPr>
            <w:r>
              <w:rPr>
                <w:rFonts w:hint="eastAsia"/>
              </w:rPr>
              <w:t>热电制冷方式：最低制冷温度</w:t>
            </w:r>
            <w:r>
              <w:t>-40°C</w:t>
            </w:r>
            <w:r>
              <w:rPr>
                <w:rFonts w:hint="eastAsia"/>
              </w:rPr>
              <w:t>（水冷模式），</w:t>
            </w:r>
            <w:r>
              <w:t>-30°C</w:t>
            </w:r>
            <w:r>
              <w:rPr>
                <w:rFonts w:hint="eastAsia"/>
              </w:rPr>
              <w:t>（风冷模式），有效的降低暗噪声；</w:t>
            </w:r>
          </w:p>
          <w:p w:rsidR="00807B91" w:rsidRDefault="00807B91">
            <w:pPr>
              <w:spacing w:line="300" w:lineRule="auto"/>
            </w:pPr>
            <w:r>
              <w:rPr>
                <w:rFonts w:hint="eastAsia"/>
              </w:rPr>
              <w:t>读出噪声：最小可达</w:t>
            </w:r>
            <w:r>
              <w:t>4e-</w:t>
            </w:r>
            <w:r>
              <w:rPr>
                <w:rFonts w:hint="eastAsia"/>
              </w:rPr>
              <w:t>；</w:t>
            </w:r>
          </w:p>
          <w:p w:rsidR="00807B91" w:rsidRDefault="00807B91">
            <w:pPr>
              <w:spacing w:line="300" w:lineRule="auto"/>
            </w:pPr>
            <w:r>
              <w:rPr>
                <w:sz w:val="20"/>
                <w:szCs w:val="20"/>
              </w:rPr>
              <w:t>#</w:t>
            </w:r>
            <w:r>
              <w:rPr>
                <w:rFonts w:hint="eastAsia"/>
              </w:rPr>
              <w:t>全分辨率（全像素）下帧频：≥</w:t>
            </w:r>
            <w:r>
              <w:t>4</w:t>
            </w:r>
            <w:r>
              <w:rPr>
                <w:rFonts w:hint="eastAsia"/>
              </w:rPr>
              <w:t>帧</w:t>
            </w:r>
            <w:r>
              <w:t>/</w:t>
            </w:r>
            <w:r>
              <w:rPr>
                <w:rFonts w:hint="eastAsia"/>
              </w:rPr>
              <w:t>秒；</w:t>
            </w:r>
          </w:p>
          <w:p w:rsidR="00807B91" w:rsidRDefault="00807B91">
            <w:pPr>
              <w:spacing w:line="300" w:lineRule="auto"/>
            </w:pPr>
            <w:r>
              <w:rPr>
                <w:rFonts w:hint="eastAsia"/>
                <w:sz w:val="20"/>
                <w:szCs w:val="20"/>
              </w:rPr>
              <w:t>★</w:t>
            </w:r>
            <w:r>
              <w:t>50kHz</w:t>
            </w:r>
            <w:r>
              <w:rPr>
                <w:rFonts w:hint="eastAsia"/>
              </w:rPr>
              <w:t>，</w:t>
            </w:r>
            <w:r>
              <w:t>1MHZ</w:t>
            </w:r>
            <w:r>
              <w:rPr>
                <w:rFonts w:hint="eastAsia"/>
              </w:rPr>
              <w:t>，</w:t>
            </w:r>
            <w:r>
              <w:t>3MHZ</w:t>
            </w:r>
            <w:r>
              <w:rPr>
                <w:rFonts w:hint="eastAsia"/>
              </w:rPr>
              <w:t>，</w:t>
            </w:r>
            <w:r>
              <w:t>5MHZ</w:t>
            </w:r>
            <w:r>
              <w:rPr>
                <w:rFonts w:hint="eastAsia"/>
              </w:rPr>
              <w:t>多种读出速度可选；</w:t>
            </w:r>
          </w:p>
          <w:p w:rsidR="00807B91" w:rsidRDefault="00807B91">
            <w:pPr>
              <w:spacing w:line="300" w:lineRule="auto"/>
            </w:pPr>
            <w:r>
              <w:rPr>
                <w:sz w:val="20"/>
                <w:szCs w:val="20"/>
              </w:rPr>
              <w:t>#</w:t>
            </w:r>
            <w:r>
              <w:rPr>
                <w:rFonts w:hint="eastAsia"/>
              </w:rPr>
              <w:t>内置延时同步单元</w:t>
            </w:r>
            <w:r>
              <w:t>DDG</w:t>
            </w:r>
            <w:r>
              <w:rPr>
                <w:rFonts w:hint="eastAsia"/>
              </w:rPr>
              <w:t>，可作精确的时间同步控制；</w:t>
            </w:r>
          </w:p>
          <w:p w:rsidR="00807B91" w:rsidRDefault="00807B91">
            <w:pPr>
              <w:spacing w:line="300" w:lineRule="auto"/>
            </w:pPr>
            <w:r>
              <w:rPr>
                <w:rFonts w:hint="eastAsia"/>
              </w:rPr>
              <w:t>多种工作模式可选，全像素，</w:t>
            </w:r>
            <w:r>
              <w:t>Binning</w:t>
            </w:r>
            <w:r>
              <w:rPr>
                <w:rFonts w:hint="eastAsia"/>
              </w:rPr>
              <w:t>，</w:t>
            </w:r>
            <w:r>
              <w:t>FVB,  Crop mode</w:t>
            </w:r>
            <w:r>
              <w:rPr>
                <w:rFonts w:hint="eastAsia"/>
              </w:rPr>
              <w:t>，快速动力学；</w:t>
            </w:r>
          </w:p>
          <w:p w:rsidR="00807B91" w:rsidRDefault="00807B91">
            <w:pPr>
              <w:spacing w:line="300" w:lineRule="auto"/>
            </w:pPr>
            <w:r>
              <w:rPr>
                <w:rFonts w:hint="eastAsia"/>
              </w:rPr>
              <w:t>等效背景噪声（</w:t>
            </w:r>
            <w:r>
              <w:t>EBI</w:t>
            </w:r>
            <w:r>
              <w:rPr>
                <w:rFonts w:hint="eastAsia"/>
              </w:rPr>
              <w:t>）：</w:t>
            </w:r>
            <w:r>
              <w:t>&lt;0.2e-/pixel/sec;</w:t>
            </w:r>
          </w:p>
          <w:p w:rsidR="00807B91" w:rsidRDefault="00807B91">
            <w:pPr>
              <w:spacing w:line="300" w:lineRule="auto"/>
              <w:rPr>
                <w:sz w:val="20"/>
                <w:szCs w:val="20"/>
              </w:rPr>
            </w:pPr>
            <w:r>
              <w:rPr>
                <w:rFonts w:hint="eastAsia"/>
              </w:rPr>
              <w:t>配套相机操作软件；</w:t>
            </w:r>
          </w:p>
        </w:tc>
      </w:tr>
    </w:tbl>
    <w:p w:rsidR="00807B91" w:rsidRDefault="00807B91" w:rsidP="00807B91">
      <w:pPr>
        <w:pStyle w:val="2"/>
        <w:numPr>
          <w:ilvl w:val="1"/>
          <w:numId w:val="21"/>
        </w:numPr>
        <w:spacing w:line="440" w:lineRule="exact"/>
        <w:rPr>
          <w:rFonts w:cs="宋体"/>
          <w:sz w:val="21"/>
          <w:szCs w:val="21"/>
        </w:rPr>
      </w:pPr>
      <w:r>
        <w:rPr>
          <w:rFonts w:hint="eastAsia"/>
          <w:b w:val="0"/>
          <w:bCs w:val="0"/>
          <w:sz w:val="21"/>
          <w:szCs w:val="21"/>
        </w:rPr>
        <w:t>★项目履约时间、地点</w:t>
      </w:r>
      <w:bookmarkEnd w:id="19"/>
    </w:p>
    <w:p w:rsidR="00807B91" w:rsidRDefault="00807B91" w:rsidP="00807B91">
      <w:pPr>
        <w:spacing w:line="440" w:lineRule="exact"/>
        <w:ind w:firstLine="405"/>
        <w:rPr>
          <w:rFonts w:ascii="宋体" w:hAnsi="宋体" w:hint="eastAsia"/>
          <w:szCs w:val="21"/>
        </w:rPr>
      </w:pPr>
      <w:r>
        <w:rPr>
          <w:rFonts w:hint="eastAsia"/>
          <w:szCs w:val="21"/>
        </w:rPr>
        <w:t>开具信用证后</w:t>
      </w:r>
      <w:r>
        <w:rPr>
          <w:szCs w:val="21"/>
        </w:rPr>
        <w:t>90</w:t>
      </w:r>
      <w:r>
        <w:rPr>
          <w:rFonts w:hint="eastAsia"/>
          <w:szCs w:val="21"/>
        </w:rPr>
        <w:t>天内</w:t>
      </w:r>
      <w:r>
        <w:rPr>
          <w:szCs w:val="21"/>
        </w:rPr>
        <w:t>CIP</w:t>
      </w:r>
      <w:r>
        <w:rPr>
          <w:rFonts w:hint="eastAsia"/>
          <w:szCs w:val="21"/>
        </w:rPr>
        <w:t>成都，完成安装调试并通过验收。项目地点：</w:t>
      </w:r>
      <w:r>
        <w:rPr>
          <w:rFonts w:ascii="宋体" w:hAnsi="宋体" w:hint="eastAsia"/>
          <w:szCs w:val="21"/>
        </w:rPr>
        <w:t>四川省成都市西南交通大学</w:t>
      </w:r>
      <w:proofErr w:type="gramStart"/>
      <w:r>
        <w:rPr>
          <w:rFonts w:ascii="宋体" w:hAnsi="宋体" w:hint="eastAsia"/>
          <w:szCs w:val="21"/>
        </w:rPr>
        <w:t>犀</w:t>
      </w:r>
      <w:proofErr w:type="gramEnd"/>
      <w:r>
        <w:rPr>
          <w:rFonts w:ascii="宋体" w:hAnsi="宋体" w:hint="eastAsia"/>
          <w:szCs w:val="21"/>
        </w:rPr>
        <w:t>浦校区高电压实验室（10号教学楼）。</w:t>
      </w:r>
    </w:p>
    <w:p w:rsidR="00807B91" w:rsidRDefault="00807B91" w:rsidP="00807B91">
      <w:pPr>
        <w:pStyle w:val="2"/>
        <w:numPr>
          <w:ilvl w:val="1"/>
          <w:numId w:val="21"/>
        </w:numPr>
        <w:spacing w:line="440" w:lineRule="exact"/>
        <w:rPr>
          <w:rFonts w:hint="eastAsia"/>
          <w:sz w:val="21"/>
          <w:szCs w:val="21"/>
        </w:rPr>
      </w:pPr>
      <w:bookmarkStart w:id="20" w:name="_Toc477248553"/>
      <w:bookmarkStart w:id="21" w:name="_Toc417566437"/>
      <w:r>
        <w:rPr>
          <w:rFonts w:hint="eastAsia"/>
          <w:b w:val="0"/>
          <w:bCs w:val="0"/>
          <w:sz w:val="21"/>
          <w:szCs w:val="21"/>
        </w:rPr>
        <w:lastRenderedPageBreak/>
        <w:t>★付款方式</w:t>
      </w:r>
      <w:bookmarkEnd w:id="20"/>
      <w:bookmarkEnd w:id="21"/>
    </w:p>
    <w:p w:rsidR="00807B91" w:rsidRDefault="00807B91" w:rsidP="00807B91">
      <w:pPr>
        <w:spacing w:line="440" w:lineRule="exact"/>
        <w:ind w:firstLineChars="200" w:firstLine="420"/>
        <w:rPr>
          <w:rFonts w:hint="eastAsia"/>
          <w:szCs w:val="21"/>
        </w:rPr>
      </w:pPr>
      <w:bookmarkStart w:id="22" w:name="_Toc417566438"/>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w:t>
      </w:r>
      <w:r>
        <w:rPr>
          <w:rFonts w:hAnsi="宋体"/>
          <w:szCs w:val="21"/>
          <w:lang w:val="en-GB"/>
        </w:rPr>
        <w:t>60</w:t>
      </w:r>
      <w:r>
        <w:rPr>
          <w:rFonts w:hAnsi="宋体" w:hint="eastAsia"/>
          <w:szCs w:val="21"/>
          <w:lang w:val="en-GB"/>
        </w:rPr>
        <w:t>天开具以卖方为受益人、金额为装运货物全额的不可撤销信用证。凭运单收取</w:t>
      </w:r>
      <w:r>
        <w:rPr>
          <w:rFonts w:hAnsi="宋体"/>
          <w:szCs w:val="21"/>
          <w:lang w:val="en-GB"/>
        </w:rPr>
        <w:t>90%</w:t>
      </w:r>
      <w:r>
        <w:rPr>
          <w:rFonts w:hAnsi="宋体" w:hint="eastAsia"/>
          <w:szCs w:val="21"/>
          <w:lang w:val="en-GB"/>
        </w:rPr>
        <w:t>，余款凭甲方签字盖章的验收报告收取。</w:t>
      </w:r>
    </w:p>
    <w:p w:rsidR="00807B91" w:rsidRDefault="00807B91" w:rsidP="00807B91">
      <w:pPr>
        <w:pStyle w:val="2"/>
        <w:numPr>
          <w:ilvl w:val="1"/>
          <w:numId w:val="21"/>
        </w:numPr>
        <w:spacing w:line="440" w:lineRule="exact"/>
        <w:rPr>
          <w:sz w:val="21"/>
          <w:szCs w:val="21"/>
        </w:rPr>
      </w:pPr>
      <w:bookmarkStart w:id="23" w:name="_Toc477248554"/>
      <w:bookmarkEnd w:id="22"/>
      <w:r>
        <w:rPr>
          <w:rFonts w:hint="eastAsia"/>
          <w:b w:val="0"/>
          <w:bCs w:val="0"/>
          <w:sz w:val="21"/>
          <w:szCs w:val="21"/>
        </w:rPr>
        <w:t>服务要求</w:t>
      </w:r>
      <w:bookmarkEnd w:id="23"/>
    </w:p>
    <w:p w:rsidR="00807B91" w:rsidRDefault="00807B91" w:rsidP="00807B91">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807B91" w:rsidTr="00807B91">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807B91" w:rsidRDefault="00807B91">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807B91" w:rsidTr="00807B91">
        <w:tc>
          <w:tcPr>
            <w:tcW w:w="67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07B91" w:rsidRDefault="00807B91">
            <w:pPr>
              <w:rPr>
                <w:rFonts w:asciiTheme="minorEastAsia" w:eastAsiaTheme="minorEastAsia" w:hAnsiTheme="minorEastAsia"/>
              </w:rPr>
            </w:pPr>
            <w:r>
              <w:rPr>
                <w:rFonts w:asciiTheme="minorEastAsia" w:eastAsiaTheme="minorEastAsia" w:hAnsiTheme="minorEastAsia" w:hint="eastAsia"/>
              </w:rPr>
              <w:t>投标人承诺所有硬件1年免费保修、所有软件永久免费升级</w:t>
            </w:r>
            <w:r>
              <w:rPr>
                <w:rFonts w:asciiTheme="minorEastAsia" w:eastAsiaTheme="minorEastAsia" w:hAnsiTheme="minorEastAsia" w:cs="宋体" w:hint="eastAsia"/>
              </w:rPr>
              <w:t>，</w:t>
            </w:r>
            <w:r>
              <w:rPr>
                <w:rFonts w:asciiTheme="minorEastAsia" w:eastAsiaTheme="minorEastAsia" w:hAnsiTheme="minorEastAsia" w:hint="eastAsia"/>
                <w:szCs w:val="21"/>
                <w:lang w:bidi="en-US"/>
              </w:rPr>
              <w:t>在故障24小时内响应，48小时排除故障。</w:t>
            </w:r>
          </w:p>
        </w:tc>
      </w:tr>
      <w:tr w:rsidR="00807B91" w:rsidTr="00807B91">
        <w:tc>
          <w:tcPr>
            <w:tcW w:w="67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807B91" w:rsidRDefault="00807B91">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07B91" w:rsidTr="00807B91">
        <w:tc>
          <w:tcPr>
            <w:tcW w:w="674" w:type="dxa"/>
            <w:tcBorders>
              <w:top w:val="single" w:sz="4" w:space="0" w:color="auto"/>
              <w:left w:val="single" w:sz="4" w:space="0" w:color="auto"/>
              <w:bottom w:val="single" w:sz="4" w:space="0" w:color="auto"/>
              <w:right w:val="single" w:sz="4" w:space="0" w:color="auto"/>
            </w:tcBorders>
            <w:vAlign w:val="center"/>
            <w:hideMark/>
          </w:tcPr>
          <w:p w:rsidR="00807B91" w:rsidRDefault="00807B91">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807B91" w:rsidRDefault="00807B91">
            <w:pPr>
              <w:jc w:val="center"/>
              <w:rPr>
                <w:rFonts w:asciiTheme="minorEastAsia" w:eastAsiaTheme="minorEastAsia" w:hAnsiTheme="minorEastAsia"/>
              </w:rPr>
            </w:pPr>
            <w:r>
              <w:rPr>
                <w:rFonts w:asciiTheme="minorEastAsia" w:eastAsiaTheme="minorEastAsia" w:hAnsiTheme="minorEastAsia" w:hint="eastAsia"/>
              </w:rPr>
              <w:t>服务</w:t>
            </w:r>
          </w:p>
        </w:tc>
        <w:tc>
          <w:tcPr>
            <w:tcW w:w="6237" w:type="dxa"/>
            <w:tcBorders>
              <w:top w:val="single" w:sz="4" w:space="0" w:color="auto"/>
              <w:left w:val="single" w:sz="4" w:space="0" w:color="auto"/>
              <w:bottom w:val="single" w:sz="4" w:space="0" w:color="auto"/>
              <w:right w:val="single" w:sz="4" w:space="0" w:color="auto"/>
            </w:tcBorders>
            <w:hideMark/>
          </w:tcPr>
          <w:p w:rsidR="00807B91" w:rsidRDefault="00807B91">
            <w:pPr>
              <w:rPr>
                <w:rFonts w:asciiTheme="minorEastAsia" w:eastAsiaTheme="minorEastAsia" w:hAnsiTheme="minorEastAsia"/>
                <w:szCs w:val="21"/>
              </w:rPr>
            </w:pPr>
            <w:r>
              <w:rPr>
                <w:rFonts w:asciiTheme="minorEastAsia" w:eastAsiaTheme="minorEastAsia" w:hAnsiTheme="minorEastAsia" w:hint="eastAsia"/>
                <w:szCs w:val="21"/>
              </w:rPr>
              <w:t>长期提供免费的电话、传真、电邮、网上等技术支持和服务，并可按甲方要求进行不定期的技术回访。</w:t>
            </w:r>
          </w:p>
        </w:tc>
      </w:tr>
    </w:tbl>
    <w:p w:rsidR="00807B91" w:rsidRDefault="00807B91" w:rsidP="00807B91">
      <w:pPr>
        <w:spacing w:line="440" w:lineRule="exact"/>
        <w:ind w:firstLine="405"/>
        <w:rPr>
          <w:rFonts w:ascii="宋体" w:hAnsi="Courier New" w:hint="eastAsia"/>
          <w:szCs w:val="21"/>
        </w:rPr>
      </w:pPr>
    </w:p>
    <w:p w:rsidR="00807B91" w:rsidRDefault="00807B91" w:rsidP="00807B91">
      <w:pPr>
        <w:pStyle w:val="2"/>
        <w:numPr>
          <w:ilvl w:val="1"/>
          <w:numId w:val="21"/>
        </w:numPr>
        <w:spacing w:line="440" w:lineRule="exact"/>
        <w:rPr>
          <w:rFonts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807B91" w:rsidRDefault="00807B91" w:rsidP="00807B91">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07B91" w:rsidRDefault="00807B91" w:rsidP="00807B91">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07B91" w:rsidRDefault="00807B91" w:rsidP="00807B91">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07B91" w:rsidRDefault="00807B91" w:rsidP="00807B91">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807B91" w:rsidRDefault="00807B91" w:rsidP="00807B91">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807B91" w:rsidRDefault="00807B91" w:rsidP="00807B91">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807B91" w:rsidRDefault="00807B91" w:rsidP="00807B91">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807B91" w:rsidRDefault="00807B91" w:rsidP="00807B91">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807B91" w:rsidRDefault="00807B91" w:rsidP="00807B91">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807B91" w:rsidRDefault="00807B91" w:rsidP="00807B91">
      <w:pPr>
        <w:pStyle w:val="2"/>
        <w:numPr>
          <w:ilvl w:val="1"/>
          <w:numId w:val="21"/>
        </w:numPr>
        <w:spacing w:line="440" w:lineRule="exact"/>
        <w:rPr>
          <w:rFonts w:hint="eastAsia"/>
          <w:sz w:val="21"/>
          <w:szCs w:val="21"/>
        </w:rPr>
      </w:pPr>
      <w:bookmarkStart w:id="26" w:name="_Toc477248556"/>
      <w:bookmarkStart w:id="27" w:name="_Toc461024576"/>
      <w:r>
        <w:rPr>
          <w:rFonts w:hint="eastAsia"/>
          <w:b w:val="0"/>
          <w:bCs w:val="0"/>
          <w:sz w:val="21"/>
          <w:szCs w:val="21"/>
        </w:rPr>
        <w:lastRenderedPageBreak/>
        <w:t>其他要求</w:t>
      </w:r>
      <w:bookmarkEnd w:id="26"/>
      <w:bookmarkEnd w:id="27"/>
    </w:p>
    <w:p w:rsidR="00807B91" w:rsidRDefault="00807B91" w:rsidP="00807B91">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07B91" w:rsidRDefault="00807B91" w:rsidP="00807B91">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807B91" w:rsidRDefault="00807B91" w:rsidP="00807B91">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07B91" w:rsidRDefault="00807B91" w:rsidP="00807B91">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07B91" w:rsidRDefault="00807B91" w:rsidP="00807B91">
      <w:pPr>
        <w:widowControl/>
        <w:jc w:val="left"/>
        <w:rPr>
          <w:rFonts w:ascii="宋体" w:hAnsi="宋体" w:hint="eastAsia"/>
          <w:szCs w:val="21"/>
        </w:rPr>
      </w:pPr>
      <w:r>
        <w:rPr>
          <w:rFonts w:ascii="宋体" w:hAnsi="宋体" w:hint="eastAsia"/>
          <w:szCs w:val="21"/>
        </w:rPr>
        <w:br w:type="page"/>
      </w:r>
    </w:p>
    <w:p w:rsidR="00586DCE" w:rsidRPr="00807B91" w:rsidRDefault="00586DCE" w:rsidP="00807B91">
      <w:pPr>
        <w:rPr>
          <w:szCs w:val="24"/>
        </w:rPr>
      </w:pPr>
    </w:p>
    <w:sectPr w:rsidR="00586DCE" w:rsidRPr="00807B9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46" w:rsidRDefault="005B4E46" w:rsidP="006718F6">
      <w:r>
        <w:separator/>
      </w:r>
    </w:p>
  </w:endnote>
  <w:endnote w:type="continuationSeparator" w:id="0">
    <w:p w:rsidR="005B4E46" w:rsidRDefault="005B4E4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43A5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07B91" w:rsidRPr="00807B9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46" w:rsidRDefault="005B4E46" w:rsidP="006718F6">
      <w:r>
        <w:separator/>
      </w:r>
    </w:p>
  </w:footnote>
  <w:footnote w:type="continuationSeparator" w:id="0">
    <w:p w:rsidR="005B4E46" w:rsidRDefault="005B4E4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8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43A50"/>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07B91"/>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110</cp:revision>
  <cp:lastPrinted>2017-05-09T09:20:00Z</cp:lastPrinted>
  <dcterms:created xsi:type="dcterms:W3CDTF">2017-03-24T06:15:00Z</dcterms:created>
  <dcterms:modified xsi:type="dcterms:W3CDTF">2017-06-06T09:23:00Z</dcterms:modified>
</cp:coreProperties>
</file>