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BB" w:rsidRPr="00A22132" w:rsidRDefault="00F918BB" w:rsidP="00F918BB">
      <w:pPr>
        <w:pStyle w:val="1"/>
        <w:widowControl/>
        <w:spacing w:line="360" w:lineRule="auto"/>
        <w:ind w:left="283" w:hanging="425"/>
        <w:jc w:val="center"/>
      </w:pPr>
      <w:bookmarkStart w:id="0" w:name="_Toc464464604"/>
      <w:r w:rsidRPr="00A22132">
        <w:rPr>
          <w:rFonts w:hint="eastAsia"/>
        </w:rPr>
        <w:t>项目技术、商务及其他要求</w:t>
      </w:r>
      <w:bookmarkEnd w:id="0"/>
    </w:p>
    <w:p w:rsidR="00F918BB" w:rsidRPr="00A22132" w:rsidRDefault="00F918BB" w:rsidP="00F918BB">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A22132">
        <w:rPr>
          <w:rFonts w:hint="eastAsia"/>
        </w:rPr>
        <w:t>采购内容</w:t>
      </w:r>
      <w:bookmarkEnd w:id="1"/>
    </w:p>
    <w:tbl>
      <w:tblPr>
        <w:tblW w:w="7447"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4019"/>
        <w:gridCol w:w="1134"/>
        <w:gridCol w:w="1192"/>
      </w:tblGrid>
      <w:tr w:rsidR="00F918BB" w:rsidRPr="00A22132" w:rsidTr="00B55879">
        <w:trPr>
          <w:trHeight w:val="397"/>
          <w:jc w:val="center"/>
        </w:trPr>
        <w:tc>
          <w:tcPr>
            <w:tcW w:w="1102"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序号</w:t>
            </w:r>
          </w:p>
        </w:tc>
        <w:tc>
          <w:tcPr>
            <w:tcW w:w="4019"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设备名称</w:t>
            </w:r>
          </w:p>
        </w:tc>
        <w:tc>
          <w:tcPr>
            <w:tcW w:w="1134"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单位</w:t>
            </w:r>
          </w:p>
        </w:tc>
        <w:tc>
          <w:tcPr>
            <w:tcW w:w="1192"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数量</w:t>
            </w:r>
          </w:p>
        </w:tc>
      </w:tr>
      <w:tr w:rsidR="00F918BB" w:rsidRPr="00A22132" w:rsidTr="00B55879">
        <w:trPr>
          <w:trHeight w:val="397"/>
          <w:jc w:val="center"/>
        </w:trPr>
        <w:tc>
          <w:tcPr>
            <w:tcW w:w="1102"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1</w:t>
            </w:r>
          </w:p>
        </w:tc>
        <w:tc>
          <w:tcPr>
            <w:tcW w:w="4019"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交通数据收集系统</w:t>
            </w:r>
          </w:p>
        </w:tc>
        <w:tc>
          <w:tcPr>
            <w:tcW w:w="1134"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台</w:t>
            </w:r>
          </w:p>
        </w:tc>
        <w:tc>
          <w:tcPr>
            <w:tcW w:w="1192" w:type="dxa"/>
            <w:vAlign w:val="center"/>
          </w:tcPr>
          <w:p w:rsidR="00F918BB" w:rsidRPr="00A22132" w:rsidRDefault="00F918BB" w:rsidP="00B55879">
            <w:pPr>
              <w:jc w:val="center"/>
              <w:rPr>
                <w:rFonts w:ascii="宋体" w:hAnsi="宋体"/>
                <w:szCs w:val="21"/>
              </w:rPr>
            </w:pPr>
            <w:r w:rsidRPr="00A22132">
              <w:rPr>
                <w:rFonts w:ascii="宋体" w:hAnsi="宋体" w:hint="eastAsia"/>
                <w:szCs w:val="21"/>
              </w:rPr>
              <w:t>5</w:t>
            </w:r>
          </w:p>
        </w:tc>
      </w:tr>
    </w:tbl>
    <w:p w:rsidR="00F918BB" w:rsidRPr="00A22132" w:rsidRDefault="00F918BB" w:rsidP="00F918BB">
      <w:pPr>
        <w:pStyle w:val="2"/>
        <w:numPr>
          <w:ilvl w:val="1"/>
          <w:numId w:val="0"/>
        </w:numPr>
        <w:tabs>
          <w:tab w:val="left" w:pos="426"/>
          <w:tab w:val="left" w:pos="567"/>
        </w:tabs>
        <w:spacing w:beforeLines="50" w:afterLines="50" w:line="360" w:lineRule="auto"/>
        <w:ind w:left="567" w:hanging="567"/>
        <w:jc w:val="left"/>
      </w:pPr>
      <w:bookmarkStart w:id="3" w:name="_Toc464464606"/>
      <w:r w:rsidRPr="00A22132">
        <w:rPr>
          <w:rFonts w:hint="eastAsia"/>
        </w:rPr>
        <w:t>技术参数及要求</w:t>
      </w:r>
      <w:bookmarkEnd w:id="3"/>
    </w:p>
    <w:tbl>
      <w:tblPr>
        <w:tblStyle w:val="a6"/>
        <w:tblW w:w="0" w:type="auto"/>
        <w:jc w:val="center"/>
        <w:tblLook w:val="04A0"/>
      </w:tblPr>
      <w:tblGrid>
        <w:gridCol w:w="644"/>
        <w:gridCol w:w="1326"/>
        <w:gridCol w:w="6552"/>
      </w:tblGrid>
      <w:tr w:rsidR="00F918BB" w:rsidRPr="00A22132" w:rsidTr="00B55879">
        <w:trPr>
          <w:jc w:val="center"/>
        </w:trPr>
        <w:tc>
          <w:tcPr>
            <w:tcW w:w="664" w:type="dxa"/>
            <w:vAlign w:val="center"/>
          </w:tcPr>
          <w:p w:rsidR="00F918BB" w:rsidRPr="00A22132" w:rsidRDefault="00F918BB" w:rsidP="00B55879">
            <w:pPr>
              <w:spacing w:beforeLines="50" w:afterLines="50"/>
              <w:jc w:val="center"/>
              <w:rPr>
                <w:b/>
                <w:sz w:val="21"/>
                <w:szCs w:val="21"/>
              </w:rPr>
            </w:pPr>
            <w:r w:rsidRPr="00A22132">
              <w:rPr>
                <w:rFonts w:hint="eastAsia"/>
                <w:b/>
                <w:sz w:val="21"/>
                <w:szCs w:val="21"/>
              </w:rPr>
              <w:t>序号</w:t>
            </w:r>
          </w:p>
        </w:tc>
        <w:tc>
          <w:tcPr>
            <w:tcW w:w="1407" w:type="dxa"/>
            <w:vAlign w:val="center"/>
          </w:tcPr>
          <w:p w:rsidR="00F918BB" w:rsidRPr="00A22132" w:rsidRDefault="00F918BB" w:rsidP="00B55879">
            <w:pPr>
              <w:spacing w:beforeLines="50" w:afterLines="50"/>
              <w:jc w:val="center"/>
              <w:rPr>
                <w:b/>
                <w:sz w:val="21"/>
                <w:szCs w:val="21"/>
              </w:rPr>
            </w:pPr>
            <w:r w:rsidRPr="00A22132">
              <w:rPr>
                <w:rFonts w:hint="eastAsia"/>
                <w:b/>
                <w:sz w:val="21"/>
                <w:szCs w:val="21"/>
              </w:rPr>
              <w:t>名称</w:t>
            </w:r>
          </w:p>
        </w:tc>
        <w:tc>
          <w:tcPr>
            <w:tcW w:w="7030" w:type="dxa"/>
            <w:vAlign w:val="center"/>
          </w:tcPr>
          <w:p w:rsidR="00F918BB" w:rsidRPr="00A22132" w:rsidRDefault="00F918BB" w:rsidP="00B55879">
            <w:pPr>
              <w:spacing w:beforeLines="50" w:afterLines="50"/>
              <w:jc w:val="center"/>
              <w:rPr>
                <w:b/>
                <w:sz w:val="21"/>
                <w:szCs w:val="21"/>
              </w:rPr>
            </w:pPr>
            <w:r w:rsidRPr="00A22132">
              <w:rPr>
                <w:rFonts w:hint="eastAsia"/>
                <w:b/>
                <w:sz w:val="21"/>
                <w:szCs w:val="21"/>
              </w:rPr>
              <w:t>详细技术指标及功能需求</w:t>
            </w:r>
          </w:p>
        </w:tc>
      </w:tr>
      <w:tr w:rsidR="00F918BB" w:rsidRPr="00A22132" w:rsidTr="00B55879">
        <w:trPr>
          <w:jc w:val="center"/>
        </w:trPr>
        <w:tc>
          <w:tcPr>
            <w:tcW w:w="664" w:type="dxa"/>
            <w:vAlign w:val="center"/>
          </w:tcPr>
          <w:p w:rsidR="00F918BB" w:rsidRPr="00A22132" w:rsidRDefault="00F918BB" w:rsidP="00B55879">
            <w:pPr>
              <w:spacing w:beforeLines="50" w:afterLines="50"/>
              <w:jc w:val="center"/>
              <w:rPr>
                <w:b/>
                <w:sz w:val="21"/>
                <w:szCs w:val="21"/>
              </w:rPr>
            </w:pPr>
            <w:r w:rsidRPr="00A22132">
              <w:rPr>
                <w:rFonts w:hint="eastAsia"/>
                <w:b/>
                <w:sz w:val="21"/>
                <w:szCs w:val="21"/>
              </w:rPr>
              <w:t>1</w:t>
            </w:r>
          </w:p>
        </w:tc>
        <w:tc>
          <w:tcPr>
            <w:tcW w:w="1407" w:type="dxa"/>
            <w:vAlign w:val="center"/>
          </w:tcPr>
          <w:p w:rsidR="00F918BB" w:rsidRPr="00A22132" w:rsidRDefault="00F918BB" w:rsidP="00B55879">
            <w:pPr>
              <w:jc w:val="center"/>
              <w:rPr>
                <w:sz w:val="21"/>
                <w:szCs w:val="21"/>
              </w:rPr>
            </w:pPr>
            <w:r w:rsidRPr="00A22132">
              <w:rPr>
                <w:rFonts w:hint="eastAsia"/>
                <w:sz w:val="21"/>
                <w:szCs w:val="21"/>
              </w:rPr>
              <w:t>交通数据收集系统</w:t>
            </w:r>
          </w:p>
        </w:tc>
        <w:tc>
          <w:tcPr>
            <w:tcW w:w="7030" w:type="dxa"/>
            <w:vAlign w:val="center"/>
          </w:tcPr>
          <w:p w:rsidR="00F918BB" w:rsidRPr="00A22132" w:rsidRDefault="00F918BB" w:rsidP="00B55879">
            <w:pPr>
              <w:ind w:firstLineChars="200" w:firstLine="420"/>
              <w:rPr>
                <w:sz w:val="21"/>
                <w:szCs w:val="21"/>
              </w:rPr>
            </w:pPr>
            <w:r w:rsidRPr="00A22132">
              <w:rPr>
                <w:rFonts w:hint="eastAsia"/>
                <w:sz w:val="21"/>
                <w:szCs w:val="21"/>
              </w:rPr>
              <w:t>系统使用</w:t>
            </w:r>
            <w:r w:rsidRPr="00A22132">
              <w:rPr>
                <w:rFonts w:hint="eastAsia"/>
                <w:sz w:val="21"/>
                <w:szCs w:val="21"/>
              </w:rPr>
              <w:t xml:space="preserve">Wi-Fi </w:t>
            </w:r>
            <w:r w:rsidRPr="00A22132">
              <w:rPr>
                <w:rFonts w:hint="eastAsia"/>
                <w:sz w:val="21"/>
                <w:szCs w:val="21"/>
              </w:rPr>
              <w:t>数据收集技术，可以在交叉路口不停地搜索</w:t>
            </w:r>
            <w:r w:rsidRPr="00A22132">
              <w:rPr>
                <w:rFonts w:hint="eastAsia"/>
                <w:sz w:val="21"/>
                <w:szCs w:val="21"/>
              </w:rPr>
              <w:t>Wi-Fi</w:t>
            </w:r>
            <w:r w:rsidRPr="00A22132">
              <w:rPr>
                <w:rFonts w:hint="eastAsia"/>
                <w:sz w:val="21"/>
                <w:szCs w:val="21"/>
              </w:rPr>
              <w:t>信号并收集数据，主要包括：交通数据收集设备和云端软件。</w:t>
            </w:r>
          </w:p>
          <w:p w:rsidR="00F918BB" w:rsidRPr="00A22132" w:rsidRDefault="00F918BB" w:rsidP="00B55879">
            <w:pPr>
              <w:rPr>
                <w:sz w:val="21"/>
                <w:szCs w:val="21"/>
              </w:rPr>
            </w:pPr>
            <w:r w:rsidRPr="00A22132">
              <w:rPr>
                <w:rFonts w:hint="eastAsia"/>
                <w:sz w:val="21"/>
                <w:szCs w:val="21"/>
              </w:rPr>
              <w:t>1</w:t>
            </w:r>
            <w:r w:rsidRPr="00A22132">
              <w:rPr>
                <w:rFonts w:hint="eastAsia"/>
                <w:sz w:val="21"/>
                <w:szCs w:val="21"/>
              </w:rPr>
              <w:t>、交通数据收集设备</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工作温度：</w:t>
            </w:r>
            <w:r w:rsidRPr="00A22132">
              <w:rPr>
                <w:rFonts w:hint="eastAsia"/>
                <w:sz w:val="21"/>
                <w:szCs w:val="21"/>
              </w:rPr>
              <w:t xml:space="preserve">-40 </w:t>
            </w:r>
            <w:r w:rsidRPr="00A22132">
              <w:rPr>
                <w:rFonts w:hint="eastAsia"/>
                <w:sz w:val="21"/>
                <w:szCs w:val="21"/>
              </w:rPr>
              <w:t>到</w:t>
            </w:r>
            <w:r w:rsidRPr="00A22132">
              <w:rPr>
                <w:rFonts w:hint="eastAsia"/>
                <w:sz w:val="21"/>
                <w:szCs w:val="21"/>
              </w:rPr>
              <w:t xml:space="preserve">85 </w:t>
            </w:r>
            <w:r w:rsidRPr="00A22132">
              <w:rPr>
                <w:rFonts w:hint="eastAsia"/>
                <w:sz w:val="21"/>
                <w:szCs w:val="21"/>
              </w:rPr>
              <w:t>摄氏度</w:t>
            </w:r>
            <w:r w:rsidRPr="00A22132">
              <w:rPr>
                <w:rFonts w:hint="eastAsia"/>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湿度：</w:t>
            </w:r>
            <w:r w:rsidRPr="00A22132">
              <w:rPr>
                <w:sz w:val="21"/>
                <w:szCs w:val="21"/>
              </w:rPr>
              <w:t>10%</w:t>
            </w:r>
            <w:r w:rsidRPr="00A22132">
              <w:rPr>
                <w:rFonts w:hint="eastAsia"/>
                <w:sz w:val="21"/>
                <w:szCs w:val="21"/>
              </w:rPr>
              <w:t>到</w:t>
            </w:r>
            <w:r w:rsidRPr="00A22132">
              <w:rPr>
                <w:sz w:val="21"/>
                <w:szCs w:val="21"/>
              </w:rPr>
              <w:t xml:space="preserve">90%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尺寸：</w:t>
            </w:r>
            <w:r w:rsidRPr="00A22132">
              <w:rPr>
                <w:sz w:val="21"/>
                <w:szCs w:val="21"/>
              </w:rPr>
              <w:t>4.50cm X 10.85cm X 16.00cm</w:t>
            </w:r>
            <w:r w:rsidRPr="00A22132">
              <w:rPr>
                <w:rFonts w:hint="eastAsia"/>
                <w:sz w:val="21"/>
                <w:szCs w:val="21"/>
              </w:rPr>
              <w:t>以内</w:t>
            </w:r>
            <w:r w:rsidRPr="00A22132">
              <w:rPr>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电源电压：</w:t>
            </w:r>
            <w:r w:rsidRPr="00A22132">
              <w:rPr>
                <w:sz w:val="21"/>
                <w:szCs w:val="21"/>
              </w:rPr>
              <w:t xml:space="preserve">5V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功耗：小于</w:t>
            </w:r>
            <w:r w:rsidRPr="00A22132">
              <w:rPr>
                <w:sz w:val="21"/>
                <w:szCs w:val="21"/>
              </w:rPr>
              <w:t xml:space="preserve"> 5 </w:t>
            </w:r>
            <w:r w:rsidRPr="00A22132">
              <w:rPr>
                <w:rFonts w:hint="eastAsia"/>
                <w:sz w:val="21"/>
                <w:szCs w:val="21"/>
              </w:rPr>
              <w:t>瓦</w:t>
            </w:r>
            <w:r w:rsidRPr="00A22132">
              <w:rPr>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sz w:val="21"/>
                <w:szCs w:val="21"/>
              </w:rPr>
              <w:t>CPU</w:t>
            </w:r>
            <w:r w:rsidRPr="00A22132">
              <w:rPr>
                <w:rFonts w:hint="eastAsia"/>
                <w:sz w:val="21"/>
                <w:szCs w:val="21"/>
              </w:rPr>
              <w:t>：</w:t>
            </w:r>
            <w:r w:rsidRPr="00A22132">
              <w:rPr>
                <w:sz w:val="21"/>
                <w:szCs w:val="21"/>
              </w:rPr>
              <w:t xml:space="preserve">1GHZ Cortex ARM </w:t>
            </w:r>
          </w:p>
          <w:p w:rsidR="00F918BB" w:rsidRPr="00A22132" w:rsidRDefault="00F918BB" w:rsidP="00F918BB">
            <w:pPr>
              <w:pStyle w:val="a8"/>
              <w:widowControl w:val="0"/>
              <w:numPr>
                <w:ilvl w:val="0"/>
                <w:numId w:val="13"/>
              </w:numPr>
              <w:ind w:firstLineChars="0"/>
              <w:rPr>
                <w:sz w:val="21"/>
                <w:szCs w:val="21"/>
              </w:rPr>
            </w:pPr>
            <w:r w:rsidRPr="00A22132">
              <w:rPr>
                <w:rFonts w:ascii="宋体" w:hAnsi="宋体" w:cs="宋体" w:hint="eastAsia"/>
                <w:sz w:val="21"/>
                <w:szCs w:val="21"/>
              </w:rPr>
              <w:t>★</w:t>
            </w:r>
            <w:r w:rsidRPr="00A22132">
              <w:rPr>
                <w:rFonts w:hint="eastAsia"/>
                <w:sz w:val="21"/>
                <w:szCs w:val="21"/>
              </w:rPr>
              <w:t>数据收集率：每小时</w:t>
            </w:r>
            <w:r w:rsidRPr="00A22132">
              <w:rPr>
                <w:rFonts w:hint="eastAsia"/>
                <w:sz w:val="21"/>
                <w:szCs w:val="21"/>
              </w:rPr>
              <w:t xml:space="preserve">250000 </w:t>
            </w:r>
            <w:r w:rsidRPr="00A22132">
              <w:rPr>
                <w:rFonts w:hint="eastAsia"/>
                <w:sz w:val="21"/>
                <w:szCs w:val="21"/>
              </w:rPr>
              <w:t>条</w:t>
            </w:r>
            <w:r w:rsidRPr="00A22132">
              <w:rPr>
                <w:sz w:val="21"/>
                <w:szCs w:val="21"/>
              </w:rPr>
              <w:t>数据</w:t>
            </w:r>
            <w:r w:rsidRPr="00A22132">
              <w:rPr>
                <w:rFonts w:hint="eastAsia"/>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rFonts w:ascii="宋体" w:hAnsi="宋体" w:cs="宋体" w:hint="eastAsia"/>
                <w:sz w:val="21"/>
                <w:szCs w:val="21"/>
              </w:rPr>
              <w:t>★</w:t>
            </w:r>
            <w:proofErr w:type="spellStart"/>
            <w:r w:rsidRPr="00A22132">
              <w:rPr>
                <w:sz w:val="21"/>
                <w:szCs w:val="21"/>
              </w:rPr>
              <w:t>WiFI</w:t>
            </w:r>
            <w:proofErr w:type="spellEnd"/>
            <w:r w:rsidRPr="00A22132">
              <w:rPr>
                <w:sz w:val="21"/>
                <w:szCs w:val="21"/>
              </w:rPr>
              <w:t xml:space="preserve"> </w:t>
            </w:r>
            <w:r w:rsidRPr="00A22132">
              <w:rPr>
                <w:rFonts w:hint="eastAsia"/>
                <w:sz w:val="21"/>
                <w:szCs w:val="21"/>
              </w:rPr>
              <w:t>信号频率：</w:t>
            </w:r>
            <w:r w:rsidRPr="00A22132">
              <w:rPr>
                <w:sz w:val="21"/>
                <w:szCs w:val="21"/>
              </w:rPr>
              <w:t xml:space="preserve">2.4GHZ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数据接口：</w:t>
            </w:r>
            <w:r w:rsidRPr="00A22132">
              <w:rPr>
                <w:sz w:val="21"/>
                <w:szCs w:val="21"/>
              </w:rPr>
              <w:t xml:space="preserve">XML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平均故障间隔时间：大于</w:t>
            </w:r>
            <w:r w:rsidRPr="00A22132">
              <w:rPr>
                <w:sz w:val="21"/>
                <w:szCs w:val="21"/>
              </w:rPr>
              <w:t xml:space="preserve"> 100,000 </w:t>
            </w:r>
            <w:r w:rsidRPr="00A22132">
              <w:rPr>
                <w:rFonts w:hint="eastAsia"/>
                <w:sz w:val="21"/>
                <w:szCs w:val="21"/>
              </w:rPr>
              <w:t>小时</w:t>
            </w:r>
            <w:r w:rsidRPr="00A22132">
              <w:rPr>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数据延迟：</w:t>
            </w:r>
            <w:r w:rsidRPr="00A22132">
              <w:rPr>
                <w:sz w:val="21"/>
                <w:szCs w:val="21"/>
              </w:rPr>
              <w:t xml:space="preserve">35 </w:t>
            </w:r>
            <w:r w:rsidRPr="00A22132">
              <w:rPr>
                <w:rFonts w:hint="eastAsia"/>
                <w:sz w:val="21"/>
                <w:szCs w:val="21"/>
              </w:rPr>
              <w:t>秒</w:t>
            </w:r>
            <w:r w:rsidRPr="00A22132">
              <w:rPr>
                <w:sz w:val="21"/>
                <w:szCs w:val="21"/>
              </w:rPr>
              <w:t xml:space="preserve"> </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数据存储容量：</w:t>
            </w:r>
            <w:r w:rsidRPr="00A22132">
              <w:rPr>
                <w:sz w:val="21"/>
                <w:szCs w:val="21"/>
              </w:rPr>
              <w:t>100MB</w:t>
            </w:r>
            <w:r w:rsidRPr="00A22132">
              <w:rPr>
                <w:rFonts w:hint="eastAsia"/>
                <w:sz w:val="21"/>
                <w:szCs w:val="21"/>
              </w:rPr>
              <w:t>（内置）</w:t>
            </w:r>
            <w:r w:rsidRPr="00A22132">
              <w:rPr>
                <w:sz w:val="21"/>
                <w:szCs w:val="21"/>
              </w:rPr>
              <w:t>/32GB</w:t>
            </w:r>
            <w:r w:rsidRPr="00A22132">
              <w:rPr>
                <w:rFonts w:hint="eastAsia"/>
                <w:sz w:val="21"/>
                <w:szCs w:val="21"/>
              </w:rPr>
              <w:t>（</w:t>
            </w:r>
            <w:r w:rsidRPr="00A22132">
              <w:rPr>
                <w:sz w:val="21"/>
                <w:szCs w:val="21"/>
              </w:rPr>
              <w:t xml:space="preserve">U </w:t>
            </w:r>
            <w:r w:rsidRPr="00A22132">
              <w:rPr>
                <w:rFonts w:hint="eastAsia"/>
                <w:sz w:val="21"/>
                <w:szCs w:val="21"/>
              </w:rPr>
              <w:t>盘）</w:t>
            </w:r>
          </w:p>
          <w:p w:rsidR="00F918BB" w:rsidRPr="00A22132" w:rsidRDefault="00F918BB" w:rsidP="00F918BB">
            <w:pPr>
              <w:pStyle w:val="a8"/>
              <w:widowControl w:val="0"/>
              <w:numPr>
                <w:ilvl w:val="0"/>
                <w:numId w:val="13"/>
              </w:numPr>
              <w:ind w:firstLineChars="0"/>
              <w:rPr>
                <w:sz w:val="21"/>
                <w:szCs w:val="21"/>
              </w:rPr>
            </w:pPr>
            <w:r w:rsidRPr="00A22132">
              <w:rPr>
                <w:rFonts w:hint="eastAsia"/>
                <w:sz w:val="21"/>
                <w:szCs w:val="21"/>
              </w:rPr>
              <w:t>保护隐私：采用</w:t>
            </w:r>
            <w:r w:rsidRPr="00A22132">
              <w:rPr>
                <w:rFonts w:hint="eastAsia"/>
                <w:sz w:val="21"/>
                <w:szCs w:val="21"/>
              </w:rPr>
              <w:t xml:space="preserve">SHA-256 </w:t>
            </w:r>
            <w:r w:rsidRPr="00A22132">
              <w:rPr>
                <w:rFonts w:hint="eastAsia"/>
                <w:sz w:val="21"/>
                <w:szCs w:val="21"/>
              </w:rPr>
              <w:t>算法散列</w:t>
            </w:r>
            <w:r w:rsidRPr="00A22132">
              <w:rPr>
                <w:rFonts w:hint="eastAsia"/>
                <w:sz w:val="21"/>
                <w:szCs w:val="21"/>
              </w:rPr>
              <w:t xml:space="preserve">MAC </w:t>
            </w:r>
            <w:r w:rsidRPr="00A22132">
              <w:rPr>
                <w:rFonts w:hint="eastAsia"/>
                <w:sz w:val="21"/>
                <w:szCs w:val="21"/>
              </w:rPr>
              <w:t>地址</w:t>
            </w:r>
          </w:p>
          <w:p w:rsidR="00F918BB" w:rsidRPr="00A22132" w:rsidRDefault="00F918BB" w:rsidP="00F918BB">
            <w:pPr>
              <w:pStyle w:val="a8"/>
              <w:widowControl w:val="0"/>
              <w:numPr>
                <w:ilvl w:val="0"/>
                <w:numId w:val="13"/>
              </w:numPr>
              <w:ind w:firstLineChars="0"/>
              <w:rPr>
                <w:sz w:val="21"/>
                <w:szCs w:val="21"/>
              </w:rPr>
            </w:pPr>
            <w:r w:rsidRPr="00A22132">
              <w:rPr>
                <w:rFonts w:ascii="宋体" w:hAnsi="宋体" w:cs="宋体" w:hint="eastAsia"/>
                <w:sz w:val="21"/>
                <w:szCs w:val="21"/>
              </w:rPr>
              <w:t>★</w:t>
            </w:r>
            <w:r w:rsidRPr="00A22132">
              <w:rPr>
                <w:rFonts w:hint="eastAsia"/>
                <w:sz w:val="21"/>
                <w:szCs w:val="21"/>
              </w:rPr>
              <w:t>支持</w:t>
            </w:r>
            <w:r w:rsidRPr="00A22132">
              <w:rPr>
                <w:rFonts w:hint="eastAsia"/>
                <w:sz w:val="21"/>
                <w:szCs w:val="21"/>
              </w:rPr>
              <w:t xml:space="preserve"> API</w:t>
            </w:r>
            <w:r w:rsidRPr="00A22132">
              <w:rPr>
                <w:rFonts w:hint="eastAsia"/>
                <w:sz w:val="21"/>
                <w:szCs w:val="21"/>
              </w:rPr>
              <w:t>二次开发</w:t>
            </w:r>
          </w:p>
          <w:p w:rsidR="00F918BB" w:rsidRPr="00A22132" w:rsidRDefault="00F918BB" w:rsidP="00B55879">
            <w:pPr>
              <w:rPr>
                <w:sz w:val="21"/>
                <w:szCs w:val="21"/>
              </w:rPr>
            </w:pPr>
            <w:r w:rsidRPr="00A22132">
              <w:rPr>
                <w:rFonts w:hint="eastAsia"/>
                <w:sz w:val="21"/>
                <w:szCs w:val="21"/>
              </w:rPr>
              <w:t>2</w:t>
            </w:r>
            <w:r w:rsidRPr="00A22132">
              <w:rPr>
                <w:rFonts w:hint="eastAsia"/>
                <w:sz w:val="21"/>
                <w:szCs w:val="21"/>
              </w:rPr>
              <w:t>、云端软件：</w:t>
            </w:r>
          </w:p>
          <w:p w:rsidR="00F918BB" w:rsidRPr="00A22132" w:rsidRDefault="00F918BB" w:rsidP="00B55879">
            <w:pPr>
              <w:rPr>
                <w:sz w:val="21"/>
                <w:szCs w:val="21"/>
              </w:rPr>
            </w:pPr>
            <w:r w:rsidRPr="00A22132">
              <w:rPr>
                <w:rFonts w:hint="eastAsia"/>
                <w:sz w:val="21"/>
                <w:szCs w:val="21"/>
              </w:rPr>
              <w:t xml:space="preserve">   </w:t>
            </w:r>
            <w:r w:rsidRPr="00A22132">
              <w:rPr>
                <w:rFonts w:hint="eastAsia"/>
                <w:sz w:val="21"/>
                <w:szCs w:val="21"/>
              </w:rPr>
              <w:t>是基于网页应用的分析平台，可对采集的交通数据进行分析处理，可视化显示，可分析以下</w:t>
            </w:r>
            <w:r w:rsidRPr="00A22132">
              <w:rPr>
                <w:sz w:val="21"/>
                <w:szCs w:val="21"/>
              </w:rPr>
              <w:t>指标</w:t>
            </w:r>
            <w:r w:rsidRPr="00A22132">
              <w:rPr>
                <w:rFonts w:hint="eastAsia"/>
                <w:sz w:val="21"/>
                <w:szCs w:val="21"/>
              </w:rPr>
              <w:t>：</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通行时间</w:t>
            </w:r>
            <w:r w:rsidRPr="00A22132">
              <w:rPr>
                <w:rFonts w:hint="eastAsia"/>
                <w:sz w:val="21"/>
                <w:szCs w:val="21"/>
              </w:rPr>
              <w:t xml:space="preserve"> </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速度</w:t>
            </w:r>
            <w:r w:rsidRPr="00A22132">
              <w:rPr>
                <w:sz w:val="21"/>
                <w:szCs w:val="21"/>
              </w:rPr>
              <w:t xml:space="preserve"> </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交通延误</w:t>
            </w:r>
            <w:r w:rsidRPr="00A22132">
              <w:rPr>
                <w:sz w:val="21"/>
                <w:szCs w:val="21"/>
              </w:rPr>
              <w:t xml:space="preserve"> </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信号相位导致的交通延迟</w:t>
            </w:r>
            <w:r w:rsidRPr="00A22132">
              <w:rPr>
                <w:sz w:val="21"/>
                <w:szCs w:val="21"/>
              </w:rPr>
              <w:t xml:space="preserve"> </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信号配时方案分析</w:t>
            </w:r>
            <w:r w:rsidRPr="00A22132">
              <w:rPr>
                <w:sz w:val="21"/>
                <w:szCs w:val="21"/>
              </w:rPr>
              <w:t xml:space="preserve"> </w:t>
            </w:r>
          </w:p>
          <w:p w:rsidR="00F918BB" w:rsidRPr="00A22132" w:rsidRDefault="00F918BB" w:rsidP="00F918BB">
            <w:pPr>
              <w:pStyle w:val="a8"/>
              <w:widowControl w:val="0"/>
              <w:numPr>
                <w:ilvl w:val="0"/>
                <w:numId w:val="14"/>
              </w:numPr>
              <w:ind w:firstLineChars="0"/>
              <w:rPr>
                <w:sz w:val="21"/>
                <w:szCs w:val="21"/>
              </w:rPr>
            </w:pPr>
            <w:r w:rsidRPr="00A22132">
              <w:rPr>
                <w:rFonts w:hint="eastAsia"/>
                <w:sz w:val="21"/>
                <w:szCs w:val="21"/>
              </w:rPr>
              <w:t>信号配时运行</w:t>
            </w:r>
          </w:p>
          <w:p w:rsidR="00F918BB" w:rsidRPr="00A22132" w:rsidRDefault="00F918BB" w:rsidP="00B55879">
            <w:pPr>
              <w:rPr>
                <w:sz w:val="21"/>
                <w:szCs w:val="21"/>
              </w:rPr>
            </w:pPr>
            <w:r w:rsidRPr="00A22132">
              <w:rPr>
                <w:rFonts w:hint="eastAsia"/>
                <w:sz w:val="21"/>
                <w:szCs w:val="21"/>
              </w:rPr>
              <w:t>软件主要</w:t>
            </w:r>
            <w:r w:rsidRPr="00A22132">
              <w:rPr>
                <w:sz w:val="21"/>
                <w:szCs w:val="21"/>
              </w:rPr>
              <w:t>功能：</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集成管理功能：用户可在任何地方登陆平台进行数据分析，可同时管理上千台设备；</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 xml:space="preserve">OD </w:t>
            </w:r>
            <w:r w:rsidRPr="00A22132">
              <w:rPr>
                <w:rFonts w:hint="eastAsia"/>
                <w:sz w:val="21"/>
                <w:szCs w:val="21"/>
              </w:rPr>
              <w:t>等分析功能：提供直观可视化界面，可轻松的查看车流量、</w:t>
            </w:r>
            <w:r w:rsidRPr="00A22132">
              <w:rPr>
                <w:rFonts w:hint="eastAsia"/>
                <w:sz w:val="21"/>
                <w:szCs w:val="21"/>
              </w:rPr>
              <w:lastRenderedPageBreak/>
              <w:t>行程时间、</w:t>
            </w:r>
            <w:r w:rsidRPr="00A22132">
              <w:rPr>
                <w:rFonts w:hint="eastAsia"/>
                <w:sz w:val="21"/>
                <w:szCs w:val="21"/>
              </w:rPr>
              <w:t xml:space="preserve">OD </w:t>
            </w:r>
            <w:r w:rsidRPr="00A22132">
              <w:rPr>
                <w:rFonts w:hint="eastAsia"/>
                <w:sz w:val="21"/>
                <w:szCs w:val="21"/>
              </w:rPr>
              <w:t>分析等结果；</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交通自适应功能：配合软件使用，将设备采集的数据输入自适应交通系统，系统将对城市交通状况进行实时反馈，最大化</w:t>
            </w:r>
            <w:proofErr w:type="gramStart"/>
            <w:r w:rsidRPr="00A22132">
              <w:rPr>
                <w:rFonts w:hint="eastAsia"/>
                <w:sz w:val="21"/>
                <w:szCs w:val="21"/>
              </w:rPr>
              <w:t>发挥自</w:t>
            </w:r>
            <w:proofErr w:type="gramEnd"/>
            <w:r w:rsidRPr="00A22132">
              <w:rPr>
                <w:rFonts w:hint="eastAsia"/>
                <w:sz w:val="21"/>
                <w:szCs w:val="21"/>
              </w:rPr>
              <w:t>适应交通系统的功效；</w:t>
            </w:r>
            <w:r w:rsidRPr="00A22132">
              <w:rPr>
                <w:rFonts w:hint="eastAsia"/>
                <w:sz w:val="21"/>
                <w:szCs w:val="21"/>
              </w:rPr>
              <w:t xml:space="preserve"> </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路段延误分析</w:t>
            </w:r>
            <w:r w:rsidRPr="00A22132">
              <w:rPr>
                <w:sz w:val="21"/>
                <w:szCs w:val="21"/>
              </w:rPr>
              <w:t>功能</w:t>
            </w:r>
            <w:r w:rsidRPr="00A22132">
              <w:rPr>
                <w:rFonts w:hint="eastAsia"/>
                <w:sz w:val="21"/>
                <w:szCs w:val="21"/>
              </w:rPr>
              <w:t>：两个或多个设备即可创建路段。软件</w:t>
            </w:r>
            <w:r w:rsidRPr="00A22132">
              <w:rPr>
                <w:sz w:val="21"/>
                <w:szCs w:val="21"/>
              </w:rPr>
              <w:t>可</w:t>
            </w:r>
            <w:r w:rsidRPr="00A22132">
              <w:rPr>
                <w:rFonts w:hint="eastAsia"/>
                <w:sz w:val="21"/>
                <w:szCs w:val="21"/>
              </w:rPr>
              <w:t>提供每个交叉路口车辆的等待时间；</w:t>
            </w:r>
            <w:r w:rsidRPr="00A22132">
              <w:rPr>
                <w:rFonts w:hint="eastAsia"/>
                <w:sz w:val="21"/>
                <w:szCs w:val="21"/>
              </w:rPr>
              <w:t xml:space="preserve"> </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车辆匹配算法：软件能使用多种计算行程时间的匹配算法，并可提供数据给用户进行更深入的分析；</w:t>
            </w:r>
            <w:r w:rsidRPr="00A22132">
              <w:rPr>
                <w:rFonts w:hint="eastAsia"/>
                <w:sz w:val="21"/>
                <w:szCs w:val="21"/>
              </w:rPr>
              <w:t xml:space="preserve"> </w:t>
            </w:r>
          </w:p>
          <w:p w:rsidR="00F918BB" w:rsidRPr="00A22132" w:rsidRDefault="00F918BB" w:rsidP="00F918BB">
            <w:pPr>
              <w:pStyle w:val="a8"/>
              <w:widowControl w:val="0"/>
              <w:numPr>
                <w:ilvl w:val="0"/>
                <w:numId w:val="15"/>
              </w:numPr>
              <w:ind w:firstLineChars="0"/>
              <w:rPr>
                <w:sz w:val="21"/>
                <w:szCs w:val="21"/>
              </w:rPr>
            </w:pPr>
            <w:r w:rsidRPr="00A22132">
              <w:rPr>
                <w:rFonts w:hint="eastAsia"/>
                <w:sz w:val="21"/>
                <w:szCs w:val="21"/>
              </w:rPr>
              <w:t>路段分析功能：通过分段分析复杂路段，软件可确定交通拥堵状况。</w:t>
            </w:r>
          </w:p>
        </w:tc>
      </w:tr>
    </w:tbl>
    <w:p w:rsidR="00F918BB" w:rsidRPr="00A22132" w:rsidRDefault="00F918BB" w:rsidP="00F918BB">
      <w:pPr>
        <w:pStyle w:val="2"/>
        <w:numPr>
          <w:ilvl w:val="1"/>
          <w:numId w:val="0"/>
        </w:numPr>
        <w:tabs>
          <w:tab w:val="left" w:pos="426"/>
          <w:tab w:val="left" w:pos="567"/>
        </w:tabs>
        <w:spacing w:beforeLines="50" w:afterLines="50" w:line="360" w:lineRule="auto"/>
        <w:ind w:left="567" w:hanging="567"/>
        <w:jc w:val="left"/>
      </w:pPr>
      <w:bookmarkStart w:id="4" w:name="_Toc464464607"/>
      <w:r w:rsidRPr="00A22132">
        <w:rPr>
          <w:rFonts w:hint="eastAsia"/>
        </w:rPr>
        <w:lastRenderedPageBreak/>
        <w:t>商务要求</w:t>
      </w:r>
      <w:bookmarkEnd w:id="4"/>
    </w:p>
    <w:p w:rsidR="00F918BB" w:rsidRPr="00A22132" w:rsidRDefault="00F918BB" w:rsidP="00F918BB">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A22132">
        <w:rPr>
          <w:rFonts w:hint="eastAsia"/>
        </w:rPr>
        <w:t>交货时间</w:t>
      </w:r>
      <w:bookmarkEnd w:id="6"/>
      <w:r w:rsidRPr="00A22132">
        <w:rPr>
          <w:rFonts w:hint="eastAsia"/>
        </w:rPr>
        <w:t>及地点</w:t>
      </w:r>
    </w:p>
    <w:p w:rsidR="00F918BB" w:rsidRPr="00A22132" w:rsidRDefault="00F918BB" w:rsidP="00F918BB">
      <w:pPr>
        <w:adjustRightInd w:val="0"/>
        <w:snapToGrid w:val="0"/>
        <w:spacing w:line="480" w:lineRule="auto"/>
        <w:ind w:rightChars="88" w:right="185" w:firstLineChars="200" w:firstLine="420"/>
        <w:rPr>
          <w:rFonts w:ascii="宋体" w:hAnsi="宋体"/>
          <w:szCs w:val="21"/>
        </w:rPr>
      </w:pPr>
      <w:r w:rsidRPr="00A22132">
        <w:rPr>
          <w:rFonts w:ascii="宋体" w:hAnsi="宋体" w:hint="eastAsia"/>
          <w:szCs w:val="21"/>
        </w:rPr>
        <w:t>时间：合同签订后90日内交货。</w:t>
      </w:r>
    </w:p>
    <w:p w:rsidR="00F918BB" w:rsidRPr="00A22132" w:rsidRDefault="00F918BB" w:rsidP="00F918BB">
      <w:pPr>
        <w:tabs>
          <w:tab w:val="left" w:pos="851"/>
        </w:tabs>
        <w:adjustRightInd w:val="0"/>
        <w:snapToGrid w:val="0"/>
        <w:spacing w:line="480" w:lineRule="auto"/>
        <w:ind w:rightChars="88" w:right="185" w:firstLineChars="200" w:firstLine="420"/>
        <w:rPr>
          <w:rFonts w:ascii="宋体" w:hAnsi="宋体"/>
          <w:szCs w:val="21"/>
        </w:rPr>
      </w:pPr>
      <w:r w:rsidRPr="00A22132">
        <w:rPr>
          <w:rFonts w:ascii="宋体" w:hAnsi="宋体" w:hint="eastAsia"/>
          <w:szCs w:val="21"/>
        </w:rPr>
        <w:t>地点：四川省成都市西南交通大学九里</w:t>
      </w:r>
      <w:r w:rsidRPr="00A22132">
        <w:rPr>
          <w:rFonts w:ascii="宋体" w:hAnsi="宋体"/>
          <w:szCs w:val="21"/>
        </w:rPr>
        <w:t>校区</w:t>
      </w:r>
      <w:r w:rsidRPr="00A22132">
        <w:rPr>
          <w:rFonts w:ascii="宋体" w:hAnsi="宋体" w:hint="eastAsia"/>
          <w:szCs w:val="21"/>
        </w:rPr>
        <w:t>0号</w:t>
      </w:r>
      <w:r w:rsidRPr="00A22132">
        <w:rPr>
          <w:rFonts w:ascii="宋体" w:hAnsi="宋体"/>
          <w:szCs w:val="21"/>
        </w:rPr>
        <w:t>教学</w:t>
      </w:r>
      <w:proofErr w:type="gramStart"/>
      <w:r w:rsidRPr="00A22132">
        <w:rPr>
          <w:rFonts w:ascii="宋体" w:hAnsi="宋体" w:hint="eastAsia"/>
          <w:szCs w:val="21"/>
        </w:rPr>
        <w:t>楼用户</w:t>
      </w:r>
      <w:proofErr w:type="gramEnd"/>
      <w:r w:rsidRPr="00A22132">
        <w:rPr>
          <w:rFonts w:ascii="宋体" w:hAnsi="宋体" w:hint="eastAsia"/>
          <w:szCs w:val="21"/>
        </w:rPr>
        <w:t>指定实验室。</w:t>
      </w:r>
    </w:p>
    <w:p w:rsidR="00F918BB" w:rsidRPr="00A22132" w:rsidRDefault="00F918BB" w:rsidP="00F918BB">
      <w:pPr>
        <w:pStyle w:val="3"/>
        <w:numPr>
          <w:ilvl w:val="2"/>
          <w:numId w:val="0"/>
        </w:numPr>
        <w:tabs>
          <w:tab w:val="left" w:pos="709"/>
        </w:tabs>
        <w:spacing w:before="0" w:after="0" w:line="360" w:lineRule="auto"/>
        <w:jc w:val="left"/>
      </w:pPr>
      <w:bookmarkStart w:id="12" w:name="_Toc430269227"/>
      <w:bookmarkEnd w:id="7"/>
      <w:bookmarkEnd w:id="8"/>
      <w:r w:rsidRPr="00A22132">
        <w:rPr>
          <w:rFonts w:hint="eastAsia"/>
        </w:rPr>
        <w:t>质量保证期限</w:t>
      </w:r>
      <w:bookmarkEnd w:id="12"/>
    </w:p>
    <w:p w:rsidR="00F918BB" w:rsidRPr="00A22132" w:rsidRDefault="00F918BB" w:rsidP="00F918BB">
      <w:pPr>
        <w:tabs>
          <w:tab w:val="left" w:pos="0"/>
        </w:tabs>
        <w:spacing w:line="440" w:lineRule="exact"/>
        <w:ind w:firstLineChars="192" w:firstLine="403"/>
        <w:rPr>
          <w:szCs w:val="21"/>
        </w:rPr>
      </w:pPr>
      <w:r w:rsidRPr="00A22132">
        <w:rPr>
          <w:rFonts w:hint="eastAsia"/>
          <w:szCs w:val="21"/>
        </w:rPr>
        <w:t>免费质量保证期为自合同所列的货物安装调试验收合格签字确认之日起计算硬件不低于</w:t>
      </w:r>
      <w:r w:rsidRPr="00A22132">
        <w:rPr>
          <w:rFonts w:hint="eastAsia"/>
          <w:szCs w:val="21"/>
        </w:rPr>
        <w:t>1</w:t>
      </w:r>
      <w:r w:rsidRPr="00A22132">
        <w:rPr>
          <w:rFonts w:hint="eastAsia"/>
          <w:szCs w:val="21"/>
        </w:rPr>
        <w:t>年，软件免费升级不低于</w:t>
      </w:r>
      <w:r w:rsidRPr="00A22132">
        <w:rPr>
          <w:rFonts w:hint="eastAsia"/>
          <w:szCs w:val="21"/>
        </w:rPr>
        <w:t>1</w:t>
      </w:r>
      <w:r w:rsidRPr="00A22132">
        <w:rPr>
          <w:rFonts w:hint="eastAsia"/>
          <w:szCs w:val="21"/>
        </w:rPr>
        <w:t>年。</w:t>
      </w:r>
    </w:p>
    <w:p w:rsidR="00F918BB" w:rsidRPr="00A22132" w:rsidRDefault="00F918BB" w:rsidP="00F918BB">
      <w:pPr>
        <w:pStyle w:val="3"/>
        <w:numPr>
          <w:ilvl w:val="2"/>
          <w:numId w:val="0"/>
        </w:numPr>
        <w:tabs>
          <w:tab w:val="left" w:pos="709"/>
        </w:tabs>
        <w:spacing w:before="0" w:after="0" w:line="360" w:lineRule="auto"/>
        <w:jc w:val="left"/>
      </w:pPr>
      <w:r w:rsidRPr="00A22132">
        <w:rPr>
          <w:rFonts w:hint="eastAsia"/>
        </w:rPr>
        <w:t>现场培训</w:t>
      </w:r>
    </w:p>
    <w:p w:rsidR="00F918BB" w:rsidRPr="00A22132" w:rsidRDefault="00F918BB" w:rsidP="00F918BB">
      <w:pPr>
        <w:tabs>
          <w:tab w:val="left" w:pos="0"/>
        </w:tabs>
        <w:spacing w:line="440" w:lineRule="exact"/>
        <w:ind w:firstLineChars="192" w:firstLine="403"/>
        <w:rPr>
          <w:szCs w:val="21"/>
        </w:rPr>
      </w:pPr>
      <w:bookmarkStart w:id="13" w:name="_Toc430269230"/>
      <w:r w:rsidRPr="00A22132">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A22132">
        <w:rPr>
          <w:rFonts w:hint="eastAsia"/>
          <w:szCs w:val="21"/>
        </w:rPr>
        <w:t>1</w:t>
      </w:r>
      <w:r w:rsidRPr="00A22132">
        <w:rPr>
          <w:rFonts w:hint="eastAsia"/>
          <w:szCs w:val="21"/>
        </w:rPr>
        <w:t>个工作日，一切费用</w:t>
      </w:r>
      <w:proofErr w:type="gramStart"/>
      <w:r w:rsidRPr="00A22132">
        <w:rPr>
          <w:rFonts w:hint="eastAsia"/>
          <w:szCs w:val="21"/>
        </w:rPr>
        <w:t>由成交</w:t>
      </w:r>
      <w:proofErr w:type="gramEnd"/>
      <w:r w:rsidRPr="00A22132">
        <w:rPr>
          <w:rFonts w:hint="eastAsia"/>
          <w:szCs w:val="21"/>
        </w:rPr>
        <w:t>供应商承担。</w:t>
      </w:r>
    </w:p>
    <w:p w:rsidR="00F918BB" w:rsidRPr="00A22132" w:rsidRDefault="00F918BB" w:rsidP="00F918BB">
      <w:pPr>
        <w:pStyle w:val="3"/>
        <w:numPr>
          <w:ilvl w:val="2"/>
          <w:numId w:val="0"/>
        </w:numPr>
        <w:tabs>
          <w:tab w:val="left" w:pos="709"/>
        </w:tabs>
        <w:spacing w:before="0" w:after="0" w:line="360" w:lineRule="auto"/>
        <w:jc w:val="left"/>
      </w:pPr>
      <w:bookmarkStart w:id="14" w:name="_Toc430269229"/>
      <w:bookmarkStart w:id="15" w:name="_Toc430269232"/>
      <w:bookmarkEnd w:id="13"/>
      <w:r w:rsidRPr="00A22132">
        <w:rPr>
          <w:rFonts w:hint="eastAsia"/>
        </w:rPr>
        <w:t>验收标准</w:t>
      </w:r>
      <w:bookmarkEnd w:id="14"/>
    </w:p>
    <w:p w:rsidR="00F918BB" w:rsidRPr="00A22132" w:rsidRDefault="00F918BB" w:rsidP="00F918BB">
      <w:pPr>
        <w:numPr>
          <w:ilvl w:val="0"/>
          <w:numId w:val="1"/>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货物到达现场后，供应商应在采购人在场情况下当面开包，共同清点、检查外观，</w:t>
      </w:r>
      <w:proofErr w:type="gramStart"/>
      <w:r w:rsidRPr="00A22132">
        <w:rPr>
          <w:rFonts w:ascii="宋体" w:hAnsi="宋体" w:hint="eastAsia"/>
          <w:szCs w:val="21"/>
        </w:rPr>
        <w:t>作出</w:t>
      </w:r>
      <w:proofErr w:type="gramEnd"/>
      <w:r w:rsidRPr="00A22132">
        <w:rPr>
          <w:rFonts w:ascii="宋体" w:hAnsi="宋体" w:hint="eastAsia"/>
          <w:szCs w:val="21"/>
        </w:rPr>
        <w:t>验货记录，双方签字确认后开始安装调试。</w:t>
      </w:r>
    </w:p>
    <w:p w:rsidR="00F918BB" w:rsidRPr="00A22132" w:rsidRDefault="00F918BB" w:rsidP="00F918BB">
      <w:pPr>
        <w:numPr>
          <w:ilvl w:val="0"/>
          <w:numId w:val="1"/>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成交供应商应保证货物到达采购人所在地完好无损，如有缺漏、损坏，由供应商负责调换、补齐或赔偿。</w:t>
      </w:r>
    </w:p>
    <w:p w:rsidR="00F918BB" w:rsidRPr="00A22132" w:rsidRDefault="00F918BB" w:rsidP="00F918BB">
      <w:pPr>
        <w:numPr>
          <w:ilvl w:val="0"/>
          <w:numId w:val="1"/>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918BB" w:rsidRPr="00A22132" w:rsidRDefault="00F918BB" w:rsidP="00F918BB">
      <w:pPr>
        <w:numPr>
          <w:ilvl w:val="0"/>
          <w:numId w:val="2"/>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产品技术参数与采购合同一致，性能指标达到规定的标准；</w:t>
      </w:r>
    </w:p>
    <w:p w:rsidR="00F918BB" w:rsidRPr="00A22132" w:rsidRDefault="00F918BB" w:rsidP="00F918BB">
      <w:pPr>
        <w:numPr>
          <w:ilvl w:val="0"/>
          <w:numId w:val="2"/>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产品技术资料、装箱单、授权文件等资料齐全；</w:t>
      </w:r>
    </w:p>
    <w:p w:rsidR="00F918BB" w:rsidRPr="00A22132" w:rsidRDefault="00F918BB" w:rsidP="00F918BB">
      <w:pPr>
        <w:numPr>
          <w:ilvl w:val="0"/>
          <w:numId w:val="2"/>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在产品（系统）试运行期间所出现的问题得到解决，并运行正常；</w:t>
      </w:r>
    </w:p>
    <w:p w:rsidR="00F918BB" w:rsidRPr="00A22132" w:rsidRDefault="00F918BB" w:rsidP="00F918BB">
      <w:pPr>
        <w:numPr>
          <w:ilvl w:val="0"/>
          <w:numId w:val="2"/>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lastRenderedPageBreak/>
        <w:t>在规定时间内完成交货并验收，并经采购人确认。</w:t>
      </w:r>
    </w:p>
    <w:p w:rsidR="00F918BB" w:rsidRPr="00A22132" w:rsidRDefault="00F918BB" w:rsidP="00F918BB">
      <w:pPr>
        <w:numPr>
          <w:ilvl w:val="0"/>
          <w:numId w:val="1"/>
        </w:numPr>
        <w:tabs>
          <w:tab w:val="left" w:pos="851"/>
          <w:tab w:val="left" w:pos="993"/>
        </w:tabs>
        <w:adjustRightInd w:val="0"/>
        <w:snapToGrid w:val="0"/>
        <w:spacing w:line="360" w:lineRule="auto"/>
        <w:ind w:left="0" w:firstLine="426"/>
        <w:rPr>
          <w:szCs w:val="21"/>
        </w:rPr>
      </w:pPr>
      <w:r w:rsidRPr="00A22132">
        <w:rPr>
          <w:rFonts w:ascii="宋体" w:hAnsi="宋体" w:hint="eastAsia"/>
          <w:szCs w:val="21"/>
        </w:rPr>
        <w:t>产品在部署调试并试运行符合要求后，才作为最终验收。</w:t>
      </w:r>
    </w:p>
    <w:p w:rsidR="00F918BB" w:rsidRPr="00A22132" w:rsidRDefault="00F918BB" w:rsidP="00F918BB">
      <w:pPr>
        <w:numPr>
          <w:ilvl w:val="0"/>
          <w:numId w:val="1"/>
        </w:numPr>
        <w:tabs>
          <w:tab w:val="left" w:pos="851"/>
          <w:tab w:val="left" w:pos="993"/>
        </w:tabs>
        <w:adjustRightInd w:val="0"/>
        <w:snapToGrid w:val="0"/>
        <w:spacing w:line="360" w:lineRule="auto"/>
        <w:ind w:left="0" w:firstLine="426"/>
        <w:rPr>
          <w:rFonts w:ascii="宋体" w:hAnsi="宋体"/>
          <w:szCs w:val="21"/>
        </w:rPr>
      </w:pPr>
      <w:r w:rsidRPr="00A22132">
        <w:rPr>
          <w:rFonts w:ascii="宋体" w:hAnsi="宋体" w:hint="eastAsia"/>
          <w:szCs w:val="21"/>
        </w:rPr>
        <w:t>采购人对供应商交付的产品（包括质量、技术参数等）进行确认，并出具书面验收意见。</w:t>
      </w:r>
    </w:p>
    <w:p w:rsidR="00F918BB" w:rsidRPr="00A22132" w:rsidRDefault="00F918BB" w:rsidP="00F918BB">
      <w:pPr>
        <w:pStyle w:val="3"/>
        <w:numPr>
          <w:ilvl w:val="2"/>
          <w:numId w:val="0"/>
        </w:numPr>
        <w:tabs>
          <w:tab w:val="left" w:pos="709"/>
        </w:tabs>
        <w:spacing w:before="0" w:after="0" w:line="360" w:lineRule="auto"/>
        <w:jc w:val="left"/>
      </w:pPr>
      <w:r w:rsidRPr="00A22132">
        <w:rPr>
          <w:rFonts w:hint="eastAsia"/>
        </w:rPr>
        <w:t>付款方式</w:t>
      </w:r>
      <w:bookmarkEnd w:id="15"/>
    </w:p>
    <w:p w:rsidR="00F918BB" w:rsidRPr="00A22132" w:rsidRDefault="00F918BB" w:rsidP="00F918BB">
      <w:pPr>
        <w:spacing w:line="440" w:lineRule="exact"/>
        <w:ind w:firstLineChars="200" w:firstLine="420"/>
        <w:rPr>
          <w:szCs w:val="21"/>
        </w:rPr>
      </w:pPr>
      <w:bookmarkStart w:id="16" w:name="_Toc430269233"/>
      <w:r w:rsidRPr="00A22132">
        <w:rPr>
          <w:szCs w:val="21"/>
        </w:rPr>
        <w:t xml:space="preserve">1. </w:t>
      </w:r>
      <w:r w:rsidRPr="00A22132">
        <w:rPr>
          <w:szCs w:val="21"/>
        </w:rPr>
        <w:t>分期付款，第一期，合同签署后支付</w:t>
      </w:r>
      <w:r w:rsidRPr="00A22132">
        <w:rPr>
          <w:rFonts w:hint="eastAsia"/>
          <w:szCs w:val="21"/>
        </w:rPr>
        <w:t>合同</w:t>
      </w:r>
      <w:r w:rsidRPr="00A22132">
        <w:rPr>
          <w:szCs w:val="21"/>
        </w:rPr>
        <w:t>总额的</w:t>
      </w:r>
      <w:r w:rsidRPr="00A22132">
        <w:rPr>
          <w:rFonts w:hint="eastAsia"/>
          <w:szCs w:val="21"/>
        </w:rPr>
        <w:t>6</w:t>
      </w:r>
      <w:r w:rsidRPr="00A22132">
        <w:rPr>
          <w:szCs w:val="21"/>
        </w:rPr>
        <w:t>0%</w:t>
      </w:r>
      <w:r w:rsidRPr="00A22132">
        <w:rPr>
          <w:szCs w:val="21"/>
        </w:rPr>
        <w:t>；第二期，货到验收合格，在</w:t>
      </w:r>
      <w:r w:rsidRPr="00A22132">
        <w:rPr>
          <w:rFonts w:hint="eastAsia"/>
          <w:szCs w:val="21"/>
        </w:rPr>
        <w:t>成交</w:t>
      </w:r>
      <w:r w:rsidRPr="00A22132">
        <w:rPr>
          <w:szCs w:val="21"/>
        </w:rPr>
        <w:t>人支付</w:t>
      </w:r>
      <w:r w:rsidRPr="00A22132">
        <w:rPr>
          <w:rFonts w:hint="eastAsia"/>
          <w:szCs w:val="21"/>
        </w:rPr>
        <w:t>采购</w:t>
      </w:r>
      <w:r w:rsidRPr="00A22132">
        <w:rPr>
          <w:szCs w:val="21"/>
        </w:rPr>
        <w:t>人</w:t>
      </w:r>
      <w:r w:rsidRPr="00A22132">
        <w:rPr>
          <w:szCs w:val="21"/>
        </w:rPr>
        <w:t>5%</w:t>
      </w:r>
      <w:r w:rsidRPr="00A22132">
        <w:rPr>
          <w:szCs w:val="21"/>
        </w:rPr>
        <w:t>的质保金后十个工作日内，</w:t>
      </w:r>
      <w:r w:rsidRPr="00A22132">
        <w:rPr>
          <w:rFonts w:hint="eastAsia"/>
          <w:szCs w:val="21"/>
        </w:rPr>
        <w:t>采购</w:t>
      </w:r>
      <w:r w:rsidRPr="00A22132">
        <w:rPr>
          <w:szCs w:val="21"/>
        </w:rPr>
        <w:t>人支付合同总额的</w:t>
      </w:r>
      <w:r w:rsidRPr="00A22132">
        <w:rPr>
          <w:rFonts w:hint="eastAsia"/>
          <w:szCs w:val="21"/>
        </w:rPr>
        <w:t>4</w:t>
      </w:r>
      <w:r w:rsidRPr="00A22132">
        <w:rPr>
          <w:szCs w:val="21"/>
        </w:rPr>
        <w:t>0%</w:t>
      </w:r>
      <w:r w:rsidRPr="00A22132">
        <w:rPr>
          <w:szCs w:val="21"/>
        </w:rPr>
        <w:t>；第三期，正常运行</w:t>
      </w:r>
      <w:r w:rsidRPr="00A22132">
        <w:rPr>
          <w:rFonts w:hint="eastAsia"/>
          <w:szCs w:val="21"/>
        </w:rPr>
        <w:t>一</w:t>
      </w:r>
      <w:r w:rsidRPr="00A22132">
        <w:rPr>
          <w:szCs w:val="21"/>
        </w:rPr>
        <w:t>年后</w:t>
      </w:r>
      <w:r w:rsidRPr="00A22132">
        <w:rPr>
          <w:rFonts w:hint="eastAsia"/>
          <w:szCs w:val="21"/>
        </w:rPr>
        <w:t>退还</w:t>
      </w:r>
      <w:r w:rsidRPr="00A22132">
        <w:rPr>
          <w:szCs w:val="21"/>
        </w:rPr>
        <w:t>质保金；</w:t>
      </w:r>
    </w:p>
    <w:p w:rsidR="00F918BB" w:rsidRPr="00A22132" w:rsidRDefault="00F918BB" w:rsidP="00F918BB">
      <w:pPr>
        <w:spacing w:line="440" w:lineRule="exact"/>
        <w:ind w:firstLineChars="200" w:firstLine="420"/>
        <w:rPr>
          <w:szCs w:val="21"/>
        </w:rPr>
      </w:pPr>
      <w:r w:rsidRPr="00A22132">
        <w:rPr>
          <w:szCs w:val="21"/>
        </w:rPr>
        <w:t>2.</w:t>
      </w:r>
      <w:r w:rsidRPr="00A22132">
        <w:rPr>
          <w:rFonts w:hint="eastAsia"/>
          <w:szCs w:val="21"/>
        </w:rPr>
        <w:t>成交人</w:t>
      </w:r>
      <w:r w:rsidRPr="00A22132">
        <w:rPr>
          <w:szCs w:val="21"/>
        </w:rPr>
        <w:t>需提供增值税专用发票。</w:t>
      </w:r>
    </w:p>
    <w:p w:rsidR="00F918BB" w:rsidRPr="00A22132" w:rsidRDefault="00F918BB" w:rsidP="00F918BB">
      <w:pPr>
        <w:pStyle w:val="3"/>
        <w:numPr>
          <w:ilvl w:val="2"/>
          <w:numId w:val="0"/>
        </w:numPr>
        <w:tabs>
          <w:tab w:val="left" w:pos="709"/>
        </w:tabs>
        <w:spacing w:before="0" w:after="0" w:line="360" w:lineRule="auto"/>
        <w:jc w:val="left"/>
      </w:pPr>
      <w:r w:rsidRPr="00A22132">
        <w:rPr>
          <w:rFonts w:hint="eastAsia"/>
        </w:rPr>
        <w:t>最高限价</w:t>
      </w:r>
      <w:bookmarkEnd w:id="16"/>
    </w:p>
    <w:p w:rsidR="00F918BB" w:rsidRPr="00A22132" w:rsidRDefault="00F918BB" w:rsidP="00F918BB">
      <w:pPr>
        <w:ind w:firstLineChars="200" w:firstLine="422"/>
        <w:rPr>
          <w:rFonts w:ascii="宋体" w:hAnsi="宋体"/>
          <w:b/>
          <w:szCs w:val="21"/>
        </w:rPr>
      </w:pPr>
      <w:r w:rsidRPr="00A22132">
        <w:rPr>
          <w:rFonts w:ascii="宋体" w:hAnsi="宋体" w:hint="eastAsia"/>
          <w:b/>
          <w:szCs w:val="21"/>
        </w:rPr>
        <w:t>★本项目最高限价为人民币</w:t>
      </w:r>
      <w:r w:rsidRPr="00A22132">
        <w:rPr>
          <w:rFonts w:ascii="宋体" w:hAnsi="宋体" w:hint="eastAsia"/>
          <w:b/>
          <w:szCs w:val="21"/>
          <w:u w:val="single"/>
        </w:rPr>
        <w:t>25</w:t>
      </w:r>
      <w:r w:rsidRPr="00A22132">
        <w:rPr>
          <w:rFonts w:ascii="宋体" w:hAnsi="宋体" w:hint="eastAsia"/>
          <w:b/>
          <w:szCs w:val="21"/>
        </w:rPr>
        <w:t>万元，供应商报价高于最高限价的则其响应文件将按无效响应文件处理。</w:t>
      </w:r>
    </w:p>
    <w:p w:rsidR="00F918BB" w:rsidRPr="00A22132" w:rsidRDefault="00F918BB" w:rsidP="00F918BB">
      <w:pPr>
        <w:pStyle w:val="2"/>
        <w:numPr>
          <w:ilvl w:val="1"/>
          <w:numId w:val="0"/>
        </w:numPr>
        <w:tabs>
          <w:tab w:val="left" w:pos="426"/>
          <w:tab w:val="left" w:pos="567"/>
        </w:tabs>
        <w:spacing w:beforeLines="50" w:afterLines="50" w:line="360" w:lineRule="auto"/>
        <w:ind w:left="567" w:hanging="567"/>
        <w:jc w:val="left"/>
      </w:pPr>
      <w:bookmarkStart w:id="17" w:name="_Toc464464608"/>
      <w:r w:rsidRPr="00A22132">
        <w:rPr>
          <w:rFonts w:hint="eastAsia"/>
        </w:rPr>
        <w:t>其他要求</w:t>
      </w:r>
      <w:bookmarkEnd w:id="9"/>
      <w:bookmarkEnd w:id="17"/>
    </w:p>
    <w:p w:rsidR="00F918BB" w:rsidRPr="00A22132" w:rsidRDefault="00F918BB" w:rsidP="00F918BB">
      <w:pPr>
        <w:numPr>
          <w:ilvl w:val="0"/>
          <w:numId w:val="3"/>
        </w:numPr>
        <w:tabs>
          <w:tab w:val="left" w:pos="1134"/>
        </w:tabs>
        <w:spacing w:line="360" w:lineRule="auto"/>
        <w:ind w:left="0" w:firstLine="567"/>
        <w:rPr>
          <w:rFonts w:ascii="宋体" w:hAnsi="宋体"/>
          <w:szCs w:val="21"/>
        </w:rPr>
      </w:pPr>
      <w:r w:rsidRPr="00A22132">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918BB" w:rsidRPr="00A22132" w:rsidRDefault="00F918BB" w:rsidP="00F918BB">
      <w:pPr>
        <w:numPr>
          <w:ilvl w:val="0"/>
          <w:numId w:val="3"/>
        </w:numPr>
        <w:tabs>
          <w:tab w:val="left" w:pos="1134"/>
        </w:tabs>
        <w:spacing w:line="360" w:lineRule="auto"/>
        <w:ind w:left="0" w:firstLine="567"/>
        <w:rPr>
          <w:rFonts w:ascii="宋体" w:hAnsi="宋体"/>
          <w:szCs w:val="21"/>
        </w:rPr>
      </w:pPr>
      <w:r w:rsidRPr="00A22132">
        <w:rPr>
          <w:rFonts w:ascii="宋体" w:hAnsi="宋体" w:hint="eastAsia"/>
          <w:szCs w:val="21"/>
        </w:rPr>
        <w:t>采购人享有本项目实施过程中产生的知识成果及知识产权。</w:t>
      </w:r>
    </w:p>
    <w:p w:rsidR="00F918BB" w:rsidRPr="00A22132" w:rsidRDefault="00F918BB" w:rsidP="00F918BB">
      <w:pPr>
        <w:numPr>
          <w:ilvl w:val="0"/>
          <w:numId w:val="3"/>
        </w:numPr>
        <w:tabs>
          <w:tab w:val="left" w:pos="1134"/>
        </w:tabs>
        <w:spacing w:line="360" w:lineRule="auto"/>
        <w:ind w:left="0" w:firstLine="567"/>
        <w:rPr>
          <w:rFonts w:ascii="宋体" w:hAnsi="宋体"/>
          <w:szCs w:val="21"/>
        </w:rPr>
      </w:pPr>
      <w:r w:rsidRPr="00A22132">
        <w:rPr>
          <w:rFonts w:ascii="宋体" w:hAnsi="宋体" w:hint="eastAsia"/>
          <w:szCs w:val="21"/>
        </w:rPr>
        <w:t>供应商如欲在项目实施过程中采用自有知识成果，需在响应文件中声明，并提供相关知识产权证明文件。使用</w:t>
      </w:r>
      <w:proofErr w:type="gramStart"/>
      <w:r w:rsidRPr="00A22132">
        <w:rPr>
          <w:rFonts w:ascii="宋体" w:hAnsi="宋体" w:hint="eastAsia"/>
          <w:szCs w:val="21"/>
        </w:rPr>
        <w:t>该知识</w:t>
      </w:r>
      <w:proofErr w:type="gramEnd"/>
      <w:r w:rsidRPr="00A22132">
        <w:rPr>
          <w:rFonts w:ascii="宋体" w:hAnsi="宋体" w:hint="eastAsia"/>
          <w:szCs w:val="21"/>
        </w:rPr>
        <w:t>成果后，供应商需提供开发接口和开发手册等技术文档，并承诺提供无限期技术支持，采购人享有永久使用权。</w:t>
      </w:r>
    </w:p>
    <w:p w:rsidR="00F918BB" w:rsidRPr="00A22132" w:rsidRDefault="00F918BB" w:rsidP="00F918BB">
      <w:pPr>
        <w:numPr>
          <w:ilvl w:val="0"/>
          <w:numId w:val="3"/>
        </w:numPr>
        <w:tabs>
          <w:tab w:val="left" w:pos="1134"/>
        </w:tabs>
        <w:spacing w:line="360" w:lineRule="auto"/>
        <w:ind w:left="0" w:firstLine="567"/>
        <w:rPr>
          <w:rFonts w:ascii="宋体" w:hAnsi="宋体"/>
          <w:szCs w:val="21"/>
        </w:rPr>
      </w:pPr>
      <w:r w:rsidRPr="00A22132">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F918BB" w:rsidRDefault="00F93926" w:rsidP="00F918BB">
      <w:pPr>
        <w:rPr>
          <w:szCs w:val="21"/>
        </w:rPr>
      </w:pPr>
    </w:p>
    <w:sectPr w:rsidR="00F93926" w:rsidRPr="00F918BB"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5A" w:rsidRDefault="00C4725A" w:rsidP="00932768">
      <w:r>
        <w:separator/>
      </w:r>
    </w:p>
  </w:endnote>
  <w:endnote w:type="continuationSeparator" w:id="0">
    <w:p w:rsidR="00C4725A" w:rsidRDefault="00C4725A"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5A" w:rsidRDefault="00C4725A" w:rsidP="00932768">
      <w:r>
        <w:separator/>
      </w:r>
    </w:p>
  </w:footnote>
  <w:footnote w:type="continuationSeparator" w:id="0">
    <w:p w:rsidR="00C4725A" w:rsidRDefault="00C4725A"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356F32"/>
    <w:multiLevelType w:val="singleLevel"/>
    <w:tmpl w:val="57356F32"/>
    <w:lvl w:ilvl="0">
      <w:start w:val="1"/>
      <w:numFmt w:val="decimal"/>
      <w:suff w:val="nothing"/>
      <w:lvlText w:val="%1、"/>
      <w:lvlJc w:val="left"/>
    </w:lvl>
  </w:abstractNum>
  <w:abstractNum w:abstractNumId="9">
    <w:nsid w:val="5784E825"/>
    <w:multiLevelType w:val="singleLevel"/>
    <w:tmpl w:val="5784E825"/>
    <w:lvl w:ilvl="0">
      <w:start w:val="1"/>
      <w:numFmt w:val="decimal"/>
      <w:suff w:val="nothing"/>
      <w:lvlText w:val="%1、"/>
      <w:lvlJc w:val="left"/>
    </w:lvl>
  </w:abstractNum>
  <w:abstractNum w:abstractNumId="10">
    <w:nsid w:val="57FF855D"/>
    <w:multiLevelType w:val="singleLevel"/>
    <w:tmpl w:val="57FF855D"/>
    <w:lvl w:ilvl="0">
      <w:start w:val="1"/>
      <w:numFmt w:val="chineseCounting"/>
      <w:suff w:val="nothing"/>
      <w:lvlText w:val="%1、"/>
      <w:lvlJc w:val="left"/>
    </w:lvl>
  </w:abstractNum>
  <w:abstractNum w:abstractNumId="11">
    <w:nsid w:val="57FF8873"/>
    <w:multiLevelType w:val="singleLevel"/>
    <w:tmpl w:val="57FF8873"/>
    <w:lvl w:ilvl="0">
      <w:start w:val="2"/>
      <w:numFmt w:val="chineseCounting"/>
      <w:suff w:val="nothing"/>
      <w:lvlText w:val="%1、"/>
      <w:lvlJc w:val="left"/>
    </w:lvl>
  </w:abstractNum>
  <w:abstractNum w:abstractNumId="12">
    <w:nsid w:val="57FF8970"/>
    <w:multiLevelType w:val="singleLevel"/>
    <w:tmpl w:val="57FF8970"/>
    <w:lvl w:ilvl="0">
      <w:start w:val="1"/>
      <w:numFmt w:val="chineseCounting"/>
      <w:suff w:val="nothing"/>
      <w:lvlText w:val="（%1）"/>
      <w:lvlJc w:val="left"/>
    </w:lvl>
  </w:abstractNum>
  <w:abstractNum w:abstractNumId="13">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4">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
  </w:num>
  <w:num w:numId="3">
    <w:abstractNumId w:val="0"/>
  </w:num>
  <w:num w:numId="4">
    <w:abstractNumId w:val="8"/>
  </w:num>
  <w:num w:numId="5">
    <w:abstractNumId w:val="9"/>
  </w:num>
  <w:num w:numId="6">
    <w:abstractNumId w:val="1"/>
  </w:num>
  <w:num w:numId="7">
    <w:abstractNumId w:val="2"/>
  </w:num>
  <w:num w:numId="8">
    <w:abstractNumId w:val="6"/>
  </w:num>
  <w:num w:numId="9">
    <w:abstractNumId w:val="10"/>
  </w:num>
  <w:num w:numId="10">
    <w:abstractNumId w:val="4"/>
  </w:num>
  <w:num w:numId="11">
    <w:abstractNumId w:val="11"/>
  </w:num>
  <w:num w:numId="12">
    <w:abstractNumId w:val="12"/>
  </w:num>
  <w:num w:numId="13">
    <w:abstractNumId w:val="5"/>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81CDE"/>
    <w:rsid w:val="00882351"/>
    <w:rsid w:val="00885450"/>
    <w:rsid w:val="008F3A07"/>
    <w:rsid w:val="00916EF1"/>
    <w:rsid w:val="00921EEB"/>
    <w:rsid w:val="00932768"/>
    <w:rsid w:val="009417DE"/>
    <w:rsid w:val="0095043A"/>
    <w:rsid w:val="00994B92"/>
    <w:rsid w:val="009B4E5E"/>
    <w:rsid w:val="00A41D4E"/>
    <w:rsid w:val="00B31DB8"/>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23</cp:revision>
  <dcterms:created xsi:type="dcterms:W3CDTF">2016-09-19T02:09:00Z</dcterms:created>
  <dcterms:modified xsi:type="dcterms:W3CDTF">2016-10-18T06:42:00Z</dcterms:modified>
</cp:coreProperties>
</file>