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79" w:rsidRPr="00A9720B" w:rsidRDefault="002A5279" w:rsidP="002A5279">
      <w:pPr>
        <w:pStyle w:val="2"/>
        <w:spacing w:line="400" w:lineRule="exact"/>
        <w:jc w:val="center"/>
        <w:rPr>
          <w:rFonts w:ascii="宋体" w:eastAsia="宋体" w:hAnsi="宋体" w:hint="eastAsia"/>
          <w:sz w:val="36"/>
          <w:szCs w:val="36"/>
        </w:rPr>
      </w:pPr>
      <w:bookmarkStart w:id="0" w:name="_Toc217446093"/>
      <w:bookmarkStart w:id="1" w:name="_Toc447874611"/>
      <w:proofErr w:type="spellStart"/>
      <w:r>
        <w:rPr>
          <w:rFonts w:ascii="宋体" w:eastAsia="宋体" w:hAnsi="宋体" w:hint="eastAsia"/>
          <w:sz w:val="36"/>
          <w:szCs w:val="36"/>
        </w:rPr>
        <w:t>第六</w:t>
      </w:r>
      <w:r w:rsidRPr="00A9720B">
        <w:rPr>
          <w:rFonts w:ascii="宋体" w:eastAsia="宋体" w:hAnsi="宋体" w:hint="eastAsia"/>
          <w:sz w:val="36"/>
          <w:szCs w:val="36"/>
        </w:rPr>
        <w:t>章</w:t>
      </w:r>
      <w:proofErr w:type="spellEnd"/>
      <w:r w:rsidRPr="00A9720B">
        <w:rPr>
          <w:rFonts w:ascii="宋体" w:eastAsia="宋体" w:hAnsi="宋体" w:hint="eastAsia"/>
          <w:sz w:val="36"/>
          <w:szCs w:val="36"/>
        </w:rPr>
        <w:t xml:space="preserve"> </w:t>
      </w:r>
      <w:proofErr w:type="spellStart"/>
      <w:r w:rsidRPr="00A9720B">
        <w:rPr>
          <w:rFonts w:ascii="宋体" w:eastAsia="宋体" w:hAnsi="宋体" w:hint="eastAsia"/>
          <w:sz w:val="36"/>
          <w:szCs w:val="36"/>
        </w:rPr>
        <w:t>招标项目</w:t>
      </w:r>
      <w:r>
        <w:rPr>
          <w:rFonts w:ascii="宋体" w:eastAsia="宋体" w:hAnsi="宋体" w:hint="eastAsia"/>
          <w:sz w:val="36"/>
          <w:szCs w:val="36"/>
        </w:rPr>
        <w:t>技术、商务及其他</w:t>
      </w:r>
      <w:r w:rsidRPr="00A9720B">
        <w:rPr>
          <w:rFonts w:ascii="宋体" w:eastAsia="宋体" w:hAnsi="宋体" w:hint="eastAsia"/>
          <w:sz w:val="36"/>
          <w:szCs w:val="36"/>
        </w:rPr>
        <w:t>要求</w:t>
      </w:r>
      <w:bookmarkEnd w:id="0"/>
      <w:bookmarkEnd w:id="1"/>
      <w:proofErr w:type="spellEnd"/>
    </w:p>
    <w:p w:rsidR="002A5279" w:rsidRDefault="002A5279" w:rsidP="002A5279">
      <w:pPr>
        <w:pStyle w:val="2"/>
        <w:spacing w:line="400" w:lineRule="exact"/>
        <w:ind w:firstLineChars="98" w:firstLine="236"/>
        <w:rPr>
          <w:rFonts w:ascii="宋体" w:hAnsi="宋体" w:hint="eastAsia"/>
          <w:b w:val="0"/>
          <w:sz w:val="24"/>
          <w:szCs w:val="24"/>
        </w:rPr>
      </w:pPr>
      <w:bookmarkStart w:id="2" w:name="_Toc217446094"/>
      <w:bookmarkStart w:id="3" w:name="_Toc447874612"/>
      <w:r>
        <w:rPr>
          <w:rFonts w:ascii="宋体" w:hAnsi="宋体" w:hint="eastAsia"/>
          <w:sz w:val="24"/>
          <w:szCs w:val="24"/>
        </w:rPr>
        <w:t>一</w:t>
      </w:r>
      <w:r w:rsidRPr="00557C00">
        <w:rPr>
          <w:rFonts w:ascii="宋体" w:hAnsi="宋体" w:hint="eastAsia"/>
          <w:sz w:val="24"/>
          <w:szCs w:val="24"/>
        </w:rPr>
        <w:t xml:space="preserve">. </w:t>
      </w:r>
      <w:proofErr w:type="spellStart"/>
      <w:r>
        <w:rPr>
          <w:rFonts w:ascii="宋体" w:hAnsi="宋体" w:hint="eastAsia"/>
          <w:b w:val="0"/>
          <w:sz w:val="24"/>
          <w:szCs w:val="24"/>
        </w:rPr>
        <w:t>项目概述</w:t>
      </w:r>
      <w:bookmarkEnd w:id="2"/>
      <w:bookmarkEnd w:id="3"/>
      <w:proofErr w:type="spellEnd"/>
    </w:p>
    <w:p w:rsidR="002A5279" w:rsidRDefault="002A5279" w:rsidP="002A5279">
      <w:pPr>
        <w:pStyle w:val="2"/>
        <w:spacing w:line="400" w:lineRule="exact"/>
        <w:ind w:firstLineChars="98" w:firstLine="236"/>
        <w:rPr>
          <w:rFonts w:ascii="宋体" w:hAnsi="宋体" w:hint="eastAsia"/>
          <w:b w:val="0"/>
          <w:sz w:val="24"/>
          <w:szCs w:val="24"/>
        </w:rPr>
      </w:pPr>
      <w:bookmarkStart w:id="4" w:name="_Toc217446095"/>
      <w:bookmarkStart w:id="5" w:name="_Toc447874613"/>
      <w:r>
        <w:rPr>
          <w:rFonts w:ascii="宋体" w:hAnsi="宋体" w:hint="eastAsia"/>
          <w:sz w:val="24"/>
          <w:szCs w:val="24"/>
        </w:rPr>
        <w:t>二</w:t>
      </w:r>
      <w:r w:rsidRPr="00557C00">
        <w:rPr>
          <w:rFonts w:ascii="宋体" w:hAnsi="宋体" w:hint="eastAsia"/>
          <w:sz w:val="24"/>
          <w:szCs w:val="24"/>
        </w:rPr>
        <w:t>.</w:t>
      </w:r>
      <w:r>
        <w:rPr>
          <w:rFonts w:ascii="宋体" w:hAnsi="宋体" w:hint="eastAsia"/>
          <w:b w:val="0"/>
          <w:sz w:val="24"/>
          <w:szCs w:val="24"/>
        </w:rPr>
        <w:t xml:space="preserve"> </w:t>
      </w:r>
      <w:proofErr w:type="spellStart"/>
      <w:r>
        <w:rPr>
          <w:rFonts w:ascii="宋体" w:hAnsi="宋体" w:hint="eastAsia"/>
          <w:b w:val="0"/>
          <w:sz w:val="24"/>
          <w:szCs w:val="24"/>
        </w:rPr>
        <w:t>项目清单及要求</w:t>
      </w:r>
      <w:bookmarkEnd w:id="4"/>
      <w:bookmarkEnd w:id="5"/>
      <w:proofErr w:type="spellEnd"/>
    </w:p>
    <w:p w:rsidR="002A5279" w:rsidRPr="00E23840" w:rsidRDefault="002A5279" w:rsidP="002A5279">
      <w:pP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2A5279" w:rsidRPr="00662CAF" w:rsidTr="00297215">
        <w:tc>
          <w:tcPr>
            <w:tcW w:w="675" w:type="dxa"/>
            <w:vAlign w:val="center"/>
          </w:tcPr>
          <w:p w:rsidR="002A5279" w:rsidRPr="00AA685A" w:rsidRDefault="002A5279" w:rsidP="002A5279">
            <w:pPr>
              <w:spacing w:beforeLines="50" w:afterLines="50"/>
              <w:jc w:val="center"/>
              <w:rPr>
                <w:rFonts w:ascii="宋体" w:hAnsi="宋体"/>
                <w:b/>
                <w:szCs w:val="21"/>
              </w:rPr>
            </w:pPr>
            <w:r w:rsidRPr="00AA685A">
              <w:rPr>
                <w:rFonts w:ascii="宋体" w:hAnsi="宋体"/>
                <w:b/>
                <w:szCs w:val="21"/>
              </w:rPr>
              <w:t>序号</w:t>
            </w:r>
          </w:p>
        </w:tc>
        <w:tc>
          <w:tcPr>
            <w:tcW w:w="993" w:type="dxa"/>
            <w:vAlign w:val="center"/>
          </w:tcPr>
          <w:p w:rsidR="002A5279" w:rsidRPr="00AA685A" w:rsidRDefault="002A5279" w:rsidP="002A5279">
            <w:pPr>
              <w:spacing w:beforeLines="50" w:afterLines="50"/>
              <w:jc w:val="center"/>
              <w:rPr>
                <w:rFonts w:ascii="宋体" w:hAnsi="宋体"/>
                <w:b/>
                <w:szCs w:val="21"/>
              </w:rPr>
            </w:pPr>
            <w:r w:rsidRPr="00AA685A">
              <w:rPr>
                <w:rFonts w:ascii="宋体" w:hAnsi="宋体"/>
                <w:b/>
                <w:szCs w:val="21"/>
              </w:rPr>
              <w:t>名称</w:t>
            </w:r>
          </w:p>
        </w:tc>
        <w:tc>
          <w:tcPr>
            <w:tcW w:w="4252" w:type="dxa"/>
            <w:vAlign w:val="center"/>
          </w:tcPr>
          <w:p w:rsidR="002A5279" w:rsidRPr="00AA685A" w:rsidRDefault="002A5279" w:rsidP="002A5279">
            <w:pPr>
              <w:spacing w:beforeLines="50" w:afterLines="50"/>
              <w:jc w:val="center"/>
              <w:rPr>
                <w:rFonts w:ascii="宋体" w:hAnsi="宋体"/>
                <w:b/>
                <w:szCs w:val="21"/>
              </w:rPr>
            </w:pPr>
            <w:r w:rsidRPr="00AA685A">
              <w:rPr>
                <w:rFonts w:ascii="宋体" w:hAnsi="宋体"/>
                <w:b/>
                <w:szCs w:val="21"/>
              </w:rPr>
              <w:t>详细技术指标及功能需求</w:t>
            </w:r>
          </w:p>
        </w:tc>
        <w:tc>
          <w:tcPr>
            <w:tcW w:w="897" w:type="dxa"/>
            <w:vAlign w:val="center"/>
          </w:tcPr>
          <w:p w:rsidR="002A5279" w:rsidRPr="00AA685A" w:rsidRDefault="002A5279" w:rsidP="002A5279">
            <w:pPr>
              <w:spacing w:beforeLines="50" w:afterLines="50"/>
              <w:jc w:val="center"/>
              <w:rPr>
                <w:rFonts w:ascii="宋体" w:hAnsi="宋体"/>
                <w:b/>
                <w:szCs w:val="21"/>
              </w:rPr>
            </w:pPr>
            <w:r w:rsidRPr="00AA685A">
              <w:rPr>
                <w:rFonts w:ascii="宋体" w:hAnsi="宋体"/>
                <w:b/>
                <w:szCs w:val="21"/>
              </w:rPr>
              <w:t>单位</w:t>
            </w:r>
          </w:p>
        </w:tc>
        <w:tc>
          <w:tcPr>
            <w:tcW w:w="820" w:type="dxa"/>
            <w:vAlign w:val="center"/>
          </w:tcPr>
          <w:p w:rsidR="002A5279" w:rsidRPr="00AA685A" w:rsidRDefault="002A5279" w:rsidP="002A5279">
            <w:pPr>
              <w:spacing w:beforeLines="50" w:afterLines="50"/>
              <w:jc w:val="center"/>
              <w:rPr>
                <w:rFonts w:ascii="宋体" w:hAnsi="宋体"/>
                <w:b/>
                <w:szCs w:val="21"/>
              </w:rPr>
            </w:pPr>
            <w:r w:rsidRPr="00AA685A">
              <w:rPr>
                <w:rFonts w:ascii="宋体" w:hAnsi="宋体"/>
                <w:b/>
                <w:szCs w:val="21"/>
              </w:rPr>
              <w:t>数量</w:t>
            </w:r>
          </w:p>
        </w:tc>
        <w:tc>
          <w:tcPr>
            <w:tcW w:w="885" w:type="dxa"/>
            <w:vAlign w:val="center"/>
          </w:tcPr>
          <w:p w:rsidR="002A5279" w:rsidRPr="00AA685A" w:rsidRDefault="002A5279" w:rsidP="002A5279">
            <w:pPr>
              <w:spacing w:beforeLines="50" w:afterLines="50"/>
              <w:jc w:val="center"/>
              <w:rPr>
                <w:rFonts w:ascii="宋体" w:hAnsi="宋体"/>
                <w:b/>
                <w:szCs w:val="21"/>
              </w:rPr>
            </w:pPr>
            <w:r w:rsidRPr="00AA685A">
              <w:rPr>
                <w:rFonts w:ascii="宋体" w:hAnsi="宋体"/>
                <w:b/>
                <w:szCs w:val="21"/>
              </w:rPr>
              <w:t>备注</w:t>
            </w:r>
          </w:p>
        </w:tc>
      </w:tr>
      <w:tr w:rsidR="002A5279" w:rsidRPr="00662CAF" w:rsidTr="00297215">
        <w:tc>
          <w:tcPr>
            <w:tcW w:w="675" w:type="dxa"/>
            <w:vAlign w:val="center"/>
          </w:tcPr>
          <w:p w:rsidR="002A5279" w:rsidRPr="00AA685A" w:rsidRDefault="002A5279" w:rsidP="002A5279">
            <w:pPr>
              <w:spacing w:beforeLines="50" w:afterLines="50"/>
              <w:jc w:val="center"/>
              <w:rPr>
                <w:rFonts w:ascii="宋体" w:hAnsi="宋体"/>
                <w:b/>
                <w:szCs w:val="21"/>
              </w:rPr>
            </w:pPr>
            <w:r w:rsidRPr="00AA685A">
              <w:rPr>
                <w:rFonts w:ascii="宋体" w:hAnsi="宋体"/>
                <w:b/>
                <w:szCs w:val="21"/>
              </w:rPr>
              <w:t>1</w:t>
            </w:r>
          </w:p>
        </w:tc>
        <w:tc>
          <w:tcPr>
            <w:tcW w:w="993" w:type="dxa"/>
            <w:vAlign w:val="center"/>
          </w:tcPr>
          <w:p w:rsidR="002A5279" w:rsidRPr="00AA685A" w:rsidRDefault="002A5279" w:rsidP="00297215">
            <w:pPr>
              <w:jc w:val="center"/>
              <w:rPr>
                <w:rFonts w:ascii="宋体" w:hAnsi="宋体"/>
                <w:szCs w:val="21"/>
              </w:rPr>
            </w:pPr>
            <w:r w:rsidRPr="00AA685A">
              <w:rPr>
                <w:rFonts w:ascii="宋体" w:hAnsi="宋体"/>
                <w:szCs w:val="21"/>
              </w:rPr>
              <w:t>任意波形发生器</w:t>
            </w:r>
          </w:p>
        </w:tc>
        <w:tc>
          <w:tcPr>
            <w:tcW w:w="4252" w:type="dxa"/>
            <w:vAlign w:val="center"/>
          </w:tcPr>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#1、通道数：具备四通道；</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#2、3dB模拟带宽：每个通道带宽≥25GHz；</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 xml:space="preserve">#3、采用率： 四通道同时使用时每通道采样率不低于65 </w:t>
            </w:r>
            <w:proofErr w:type="spellStart"/>
            <w:r w:rsidRPr="00AA685A">
              <w:rPr>
                <w:rFonts w:ascii="宋体" w:hAnsi="宋体"/>
                <w:szCs w:val="21"/>
              </w:rPr>
              <w:t>GSa</w:t>
            </w:r>
            <w:proofErr w:type="spellEnd"/>
            <w:r w:rsidRPr="00AA685A">
              <w:rPr>
                <w:rFonts w:ascii="宋体" w:hAnsi="宋体"/>
                <w:szCs w:val="21"/>
              </w:rPr>
              <w:t>/s；</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#4、存储深度：≥16G；</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#5、DAC分辨率：8位；</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#6、输出电压幅度：单端≥1V, 差分≥2V；</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#7、幅度分辨率：≥200μV；</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 xml:space="preserve">8、上升/下降时间：≤18 </w:t>
            </w:r>
            <w:proofErr w:type="spellStart"/>
            <w:r w:rsidRPr="00AA685A">
              <w:rPr>
                <w:rFonts w:ascii="宋体" w:hAnsi="宋体"/>
                <w:szCs w:val="21"/>
              </w:rPr>
              <w:t>ps</w:t>
            </w:r>
            <w:proofErr w:type="spellEnd"/>
            <w:r w:rsidRPr="00AA685A">
              <w:rPr>
                <w:rFonts w:ascii="宋体" w:hAnsi="宋体"/>
                <w:szCs w:val="21"/>
              </w:rPr>
              <w:t>；</w:t>
            </w:r>
          </w:p>
          <w:p w:rsidR="002A5279" w:rsidRPr="00AA685A" w:rsidRDefault="002A5279" w:rsidP="00297215">
            <w:pPr>
              <w:jc w:val="left"/>
              <w:rPr>
                <w:rFonts w:ascii="宋体" w:hAnsi="宋体"/>
                <w:color w:val="000000"/>
                <w:szCs w:val="21"/>
              </w:rPr>
            </w:pPr>
            <w:r w:rsidRPr="00AA685A">
              <w:rPr>
                <w:rFonts w:ascii="宋体" w:hAnsi="宋体"/>
                <w:szCs w:val="21"/>
              </w:rPr>
              <w:t xml:space="preserve">9、随机抖动RMS值：≤200 </w:t>
            </w:r>
            <w:proofErr w:type="spellStart"/>
            <w:r w:rsidRPr="00AA685A">
              <w:rPr>
                <w:rFonts w:ascii="宋体" w:hAnsi="宋体"/>
                <w:szCs w:val="21"/>
              </w:rPr>
              <w:t>fs</w:t>
            </w:r>
            <w:proofErr w:type="spellEnd"/>
          </w:p>
        </w:tc>
        <w:tc>
          <w:tcPr>
            <w:tcW w:w="897" w:type="dxa"/>
            <w:vAlign w:val="center"/>
          </w:tcPr>
          <w:p w:rsidR="002A5279" w:rsidRPr="00AA685A" w:rsidRDefault="002A5279" w:rsidP="00297215">
            <w:pPr>
              <w:jc w:val="center"/>
              <w:rPr>
                <w:rFonts w:ascii="宋体" w:hAnsi="宋体"/>
                <w:szCs w:val="21"/>
              </w:rPr>
            </w:pPr>
            <w:r w:rsidRPr="00AA685A">
              <w:rPr>
                <w:rFonts w:ascii="宋体" w:hAnsi="宋体"/>
                <w:szCs w:val="21"/>
              </w:rPr>
              <w:t>台</w:t>
            </w:r>
          </w:p>
        </w:tc>
        <w:tc>
          <w:tcPr>
            <w:tcW w:w="820" w:type="dxa"/>
            <w:vAlign w:val="center"/>
          </w:tcPr>
          <w:p w:rsidR="002A5279" w:rsidRPr="00AA685A" w:rsidRDefault="002A5279" w:rsidP="00297215">
            <w:pPr>
              <w:jc w:val="center"/>
              <w:rPr>
                <w:rFonts w:ascii="宋体" w:hAnsi="宋体"/>
                <w:szCs w:val="21"/>
              </w:rPr>
            </w:pPr>
            <w:r w:rsidRPr="00AA685A">
              <w:rPr>
                <w:rFonts w:ascii="宋体" w:hAnsi="宋体"/>
                <w:szCs w:val="21"/>
              </w:rPr>
              <w:t>1</w:t>
            </w:r>
          </w:p>
        </w:tc>
        <w:tc>
          <w:tcPr>
            <w:tcW w:w="885" w:type="dxa"/>
            <w:vAlign w:val="center"/>
          </w:tcPr>
          <w:p w:rsidR="002A5279" w:rsidRPr="00AA685A" w:rsidRDefault="002A5279" w:rsidP="002A5279">
            <w:pPr>
              <w:spacing w:beforeLines="50" w:afterLines="50"/>
              <w:jc w:val="center"/>
              <w:rPr>
                <w:rFonts w:ascii="宋体" w:hAnsi="宋体"/>
                <w:b/>
                <w:color w:val="FF0000"/>
                <w:szCs w:val="21"/>
              </w:rPr>
            </w:pPr>
          </w:p>
        </w:tc>
      </w:tr>
      <w:tr w:rsidR="002A5279" w:rsidRPr="00662CAF" w:rsidTr="00297215">
        <w:trPr>
          <w:trHeight w:val="349"/>
        </w:trPr>
        <w:tc>
          <w:tcPr>
            <w:tcW w:w="675" w:type="dxa"/>
            <w:vAlign w:val="center"/>
          </w:tcPr>
          <w:p w:rsidR="002A5279" w:rsidRPr="00AA685A" w:rsidRDefault="002A5279" w:rsidP="002A5279">
            <w:pPr>
              <w:spacing w:beforeLines="50" w:afterLines="50"/>
              <w:jc w:val="center"/>
              <w:rPr>
                <w:rFonts w:ascii="宋体" w:hAnsi="宋体"/>
                <w:b/>
                <w:szCs w:val="21"/>
              </w:rPr>
            </w:pPr>
            <w:r w:rsidRPr="00AA685A">
              <w:rPr>
                <w:rFonts w:ascii="宋体" w:hAnsi="宋体"/>
                <w:b/>
                <w:szCs w:val="21"/>
              </w:rPr>
              <w:t>2</w:t>
            </w:r>
          </w:p>
        </w:tc>
        <w:tc>
          <w:tcPr>
            <w:tcW w:w="993" w:type="dxa"/>
            <w:vAlign w:val="center"/>
          </w:tcPr>
          <w:p w:rsidR="002A5279" w:rsidRPr="00AA685A" w:rsidRDefault="002A5279" w:rsidP="00297215">
            <w:pPr>
              <w:jc w:val="center"/>
              <w:rPr>
                <w:rFonts w:ascii="宋体" w:hAnsi="宋体"/>
                <w:szCs w:val="21"/>
              </w:rPr>
            </w:pPr>
            <w:r w:rsidRPr="00AA685A">
              <w:rPr>
                <w:rFonts w:ascii="宋体" w:hAnsi="宋体"/>
                <w:szCs w:val="21"/>
              </w:rPr>
              <w:t>双通道任意波形发生器</w:t>
            </w:r>
          </w:p>
        </w:tc>
        <w:tc>
          <w:tcPr>
            <w:tcW w:w="4252" w:type="dxa"/>
            <w:vAlign w:val="center"/>
          </w:tcPr>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#1、通道数：双通道差分输出；</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#2、3dB模拟带宽：每个通道带宽≥25GHz；</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 xml:space="preserve">#3、采用率： 双通道同时使用时每通道采样率不低于65 </w:t>
            </w:r>
            <w:proofErr w:type="spellStart"/>
            <w:r w:rsidRPr="00AA685A">
              <w:rPr>
                <w:rFonts w:ascii="宋体" w:hAnsi="宋体"/>
                <w:szCs w:val="21"/>
              </w:rPr>
              <w:t>GSa</w:t>
            </w:r>
            <w:proofErr w:type="spellEnd"/>
            <w:r w:rsidRPr="00AA685A">
              <w:rPr>
                <w:rFonts w:ascii="宋体" w:hAnsi="宋体"/>
                <w:szCs w:val="21"/>
              </w:rPr>
              <w:t>/s；</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#4、存储深度：≥2G；</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#5、DAC分辨率：8位；</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#6、输出</w:t>
            </w:r>
            <w:proofErr w:type="gramStart"/>
            <w:r w:rsidRPr="00AA685A">
              <w:rPr>
                <w:rFonts w:ascii="宋体" w:hAnsi="宋体"/>
                <w:szCs w:val="21"/>
              </w:rPr>
              <w:t>幅度幅度</w:t>
            </w:r>
            <w:proofErr w:type="gramEnd"/>
            <w:r w:rsidRPr="00AA685A">
              <w:rPr>
                <w:rFonts w:ascii="宋体" w:hAnsi="宋体"/>
                <w:szCs w:val="21"/>
              </w:rPr>
              <w:t>：单端≥1V, 差分≥2V；</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#7、幅度分辨率：≥200μV；</w:t>
            </w:r>
          </w:p>
          <w:p w:rsidR="002A5279" w:rsidRPr="00AA685A" w:rsidRDefault="002A5279" w:rsidP="00297215">
            <w:pPr>
              <w:adjustRightInd w:val="0"/>
              <w:snapToGrid w:val="0"/>
              <w:spacing w:line="312" w:lineRule="auto"/>
              <w:jc w:val="left"/>
              <w:rPr>
                <w:rFonts w:ascii="宋体" w:hAnsi="宋体"/>
                <w:szCs w:val="21"/>
              </w:rPr>
            </w:pPr>
            <w:r w:rsidRPr="00AA685A">
              <w:rPr>
                <w:rFonts w:ascii="宋体" w:hAnsi="宋体"/>
                <w:szCs w:val="21"/>
              </w:rPr>
              <w:t xml:space="preserve">8、上升/下降时间：≤18 </w:t>
            </w:r>
            <w:proofErr w:type="spellStart"/>
            <w:r w:rsidRPr="00AA685A">
              <w:rPr>
                <w:rFonts w:ascii="宋体" w:hAnsi="宋体"/>
                <w:szCs w:val="21"/>
              </w:rPr>
              <w:t>ps</w:t>
            </w:r>
            <w:proofErr w:type="spellEnd"/>
            <w:r w:rsidRPr="00AA685A">
              <w:rPr>
                <w:rFonts w:ascii="宋体" w:hAnsi="宋体"/>
                <w:szCs w:val="21"/>
              </w:rPr>
              <w:t>；</w:t>
            </w:r>
          </w:p>
          <w:p w:rsidR="002A5279" w:rsidRPr="00AA685A" w:rsidRDefault="002A5279" w:rsidP="00297215">
            <w:pPr>
              <w:jc w:val="left"/>
              <w:rPr>
                <w:rFonts w:ascii="宋体" w:hAnsi="宋体"/>
                <w:szCs w:val="21"/>
              </w:rPr>
            </w:pPr>
            <w:r w:rsidRPr="00AA685A">
              <w:rPr>
                <w:rFonts w:ascii="宋体" w:hAnsi="宋体"/>
                <w:szCs w:val="21"/>
              </w:rPr>
              <w:t xml:space="preserve">9、随机抖动RMS值：≤200 </w:t>
            </w:r>
            <w:proofErr w:type="spellStart"/>
            <w:r w:rsidRPr="00AA685A">
              <w:rPr>
                <w:rFonts w:ascii="宋体" w:hAnsi="宋体"/>
                <w:szCs w:val="21"/>
              </w:rPr>
              <w:t>fs</w:t>
            </w:r>
            <w:proofErr w:type="spellEnd"/>
          </w:p>
        </w:tc>
        <w:tc>
          <w:tcPr>
            <w:tcW w:w="897" w:type="dxa"/>
            <w:vAlign w:val="center"/>
          </w:tcPr>
          <w:p w:rsidR="002A5279" w:rsidRPr="00AA685A" w:rsidRDefault="002A5279" w:rsidP="00297215">
            <w:pPr>
              <w:jc w:val="center"/>
              <w:rPr>
                <w:rFonts w:ascii="宋体" w:hAnsi="宋体"/>
                <w:szCs w:val="21"/>
              </w:rPr>
            </w:pPr>
            <w:r w:rsidRPr="00AA685A">
              <w:rPr>
                <w:rFonts w:ascii="宋体" w:hAnsi="宋体"/>
                <w:szCs w:val="21"/>
              </w:rPr>
              <w:t>台</w:t>
            </w:r>
          </w:p>
        </w:tc>
        <w:tc>
          <w:tcPr>
            <w:tcW w:w="820" w:type="dxa"/>
            <w:vAlign w:val="center"/>
          </w:tcPr>
          <w:p w:rsidR="002A5279" w:rsidRPr="00AA685A" w:rsidRDefault="002A5279" w:rsidP="00297215">
            <w:pPr>
              <w:jc w:val="center"/>
              <w:rPr>
                <w:rFonts w:ascii="宋体" w:hAnsi="宋体"/>
                <w:szCs w:val="21"/>
              </w:rPr>
            </w:pPr>
            <w:r w:rsidRPr="00AA685A">
              <w:rPr>
                <w:rFonts w:ascii="宋体" w:hAnsi="宋体"/>
                <w:szCs w:val="21"/>
              </w:rPr>
              <w:t>1</w:t>
            </w:r>
          </w:p>
        </w:tc>
        <w:tc>
          <w:tcPr>
            <w:tcW w:w="885" w:type="dxa"/>
            <w:vAlign w:val="center"/>
          </w:tcPr>
          <w:p w:rsidR="002A5279" w:rsidRPr="00AA685A" w:rsidRDefault="002A5279" w:rsidP="00297215">
            <w:pPr>
              <w:jc w:val="center"/>
              <w:rPr>
                <w:rFonts w:ascii="宋体" w:hAnsi="宋体"/>
                <w:szCs w:val="21"/>
              </w:rPr>
            </w:pPr>
          </w:p>
        </w:tc>
      </w:tr>
    </w:tbl>
    <w:p w:rsidR="002A5279" w:rsidRPr="00E23840" w:rsidRDefault="002A5279" w:rsidP="002A5279">
      <w:pPr>
        <w:rPr>
          <w:rFonts w:ascii="宋体" w:hAnsi="宋体"/>
          <w:szCs w:val="21"/>
        </w:rPr>
      </w:pPr>
    </w:p>
    <w:p w:rsidR="002A5279" w:rsidRPr="00E23840" w:rsidRDefault="002A5279" w:rsidP="002A5279">
      <w:pPr>
        <w:spacing w:beforeLines="50" w:afterLines="50"/>
        <w:rPr>
          <w:b/>
        </w:rPr>
      </w:pPr>
      <w:r>
        <w:rPr>
          <w:rFonts w:ascii="宋体" w:hAnsi="宋体"/>
          <w:sz w:val="28"/>
          <w:szCs w:val="28"/>
        </w:rPr>
        <w:br w:type="page"/>
      </w:r>
      <w:r w:rsidRPr="00F843B6">
        <w:rPr>
          <w:rFonts w:hint="eastAsia"/>
          <w:b/>
        </w:rPr>
        <w:lastRenderedPageBreak/>
        <w:t>三、</w:t>
      </w:r>
      <w:r w:rsidRPr="00E23840">
        <w:rPr>
          <w:rFonts w:hint="eastAsia"/>
          <w:b/>
        </w:rPr>
        <w:t>质</w:t>
      </w:r>
      <w:proofErr w:type="gramStart"/>
      <w:r w:rsidRPr="00E23840">
        <w:rPr>
          <w:rFonts w:hint="eastAsia"/>
          <w:b/>
        </w:rPr>
        <w:t>保及其</w:t>
      </w:r>
      <w:proofErr w:type="gramEnd"/>
      <w:r w:rsidRPr="00E23840">
        <w:rPr>
          <w:rFonts w:hint="eastAsia"/>
          <w:b/>
        </w:rPr>
        <w:t>他要求</w:t>
      </w:r>
    </w:p>
    <w:p w:rsidR="002A5279" w:rsidRDefault="002A5279" w:rsidP="002A5279">
      <w:pPr>
        <w:spacing w:line="440" w:lineRule="exact"/>
        <w:rPr>
          <w:rFonts w:ascii="宋体" w:hAnsi="宋体"/>
          <w:szCs w:val="21"/>
        </w:rPr>
      </w:pPr>
      <w:r>
        <w:rPr>
          <w:rFonts w:ascii="宋体" w:hAnsi="宋体" w:hint="eastAsia"/>
          <w:szCs w:val="21"/>
        </w:rPr>
        <w:t>整机质保不少于3</w:t>
      </w:r>
      <w:r w:rsidRPr="00E23840">
        <w:rPr>
          <w:rFonts w:ascii="宋体" w:hAnsi="宋体" w:hint="eastAsia"/>
          <w:szCs w:val="21"/>
        </w:rPr>
        <w:t>年。</w:t>
      </w:r>
    </w:p>
    <w:p w:rsidR="002A5279" w:rsidRPr="00E23840" w:rsidRDefault="002A5279" w:rsidP="002A5279">
      <w:pPr>
        <w:spacing w:line="440" w:lineRule="exact"/>
        <w:rPr>
          <w:rFonts w:ascii="宋体" w:hAnsi="宋体"/>
          <w:szCs w:val="21"/>
        </w:rPr>
      </w:pPr>
    </w:p>
    <w:p w:rsidR="002A5279" w:rsidRPr="00E23840" w:rsidRDefault="002A5279" w:rsidP="002A5279">
      <w:pPr>
        <w:spacing w:line="440" w:lineRule="exact"/>
        <w:rPr>
          <w:rFonts w:ascii="宋体" w:hAnsi="宋体"/>
          <w:b/>
          <w:szCs w:val="21"/>
        </w:rPr>
      </w:pPr>
      <w:r>
        <w:rPr>
          <w:rFonts w:ascii="宋体" w:hAnsi="宋体" w:hint="eastAsia"/>
          <w:b/>
          <w:szCs w:val="21"/>
        </w:rPr>
        <w:t>四、</w:t>
      </w:r>
      <w:r w:rsidRPr="00E23840">
        <w:rPr>
          <w:rFonts w:ascii="宋体" w:hAnsi="宋体" w:hint="eastAsia"/>
          <w:b/>
          <w:szCs w:val="21"/>
        </w:rPr>
        <w:t>现场培训：</w:t>
      </w:r>
    </w:p>
    <w:p w:rsidR="002A5279" w:rsidRPr="00E23840" w:rsidRDefault="002A5279" w:rsidP="002A5279">
      <w:pPr>
        <w:spacing w:line="440" w:lineRule="exact"/>
        <w:rPr>
          <w:rFonts w:ascii="宋体" w:hAnsi="宋体"/>
          <w:b/>
          <w:szCs w:val="21"/>
        </w:rPr>
      </w:pPr>
      <w:r w:rsidRPr="00E23840">
        <w:rPr>
          <w:rFonts w:hint="eastAsia"/>
          <w:szCs w:val="21"/>
        </w:rPr>
        <w:t>中标人派专业技术人员到采购人指定的地点对采购人的教师或技术人员进行培训，直至采购人的教师或技术人员能熟练独立工作，同时能完成一般常见故障的维修工作为止，时长不少于</w:t>
      </w:r>
      <w:r>
        <w:rPr>
          <w:rFonts w:hint="eastAsia"/>
          <w:szCs w:val="21"/>
        </w:rPr>
        <w:t>7</w:t>
      </w:r>
      <w:r w:rsidRPr="00E23840">
        <w:rPr>
          <w:rFonts w:hint="eastAsia"/>
          <w:szCs w:val="21"/>
        </w:rPr>
        <w:t>个工作日，一切费用由中标人承担。</w:t>
      </w:r>
    </w:p>
    <w:p w:rsidR="002A5279" w:rsidRPr="00E23840" w:rsidRDefault="002A5279" w:rsidP="002A5279">
      <w:pPr>
        <w:spacing w:beforeLines="50" w:afterLines="50"/>
        <w:rPr>
          <w:b/>
        </w:rPr>
      </w:pPr>
      <w:r>
        <w:rPr>
          <w:rFonts w:hint="eastAsia"/>
          <w:b/>
        </w:rPr>
        <w:t>五、</w:t>
      </w:r>
      <w:r w:rsidRPr="00E23840">
        <w:rPr>
          <w:rFonts w:hint="eastAsia"/>
          <w:b/>
        </w:rPr>
        <w:t>验收标准：</w:t>
      </w:r>
    </w:p>
    <w:p w:rsidR="002A5279" w:rsidRPr="00E23840" w:rsidRDefault="002A5279" w:rsidP="002A5279">
      <w:pPr>
        <w:numPr>
          <w:ilvl w:val="0"/>
          <w:numId w:val="1"/>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货物到达现场后，供应商应在采购人在场情况下当面开包，共同清点、检查外观，</w:t>
      </w:r>
      <w:proofErr w:type="gramStart"/>
      <w:r w:rsidRPr="00E23840">
        <w:rPr>
          <w:rFonts w:ascii="宋体" w:hAnsi="宋体" w:hint="eastAsia"/>
          <w:szCs w:val="21"/>
        </w:rPr>
        <w:t>作出</w:t>
      </w:r>
      <w:proofErr w:type="gramEnd"/>
      <w:r w:rsidRPr="00E23840">
        <w:rPr>
          <w:rFonts w:ascii="宋体" w:hAnsi="宋体" w:hint="eastAsia"/>
          <w:szCs w:val="21"/>
        </w:rPr>
        <w:t>验货记录，双方签字确认后开始安装调试。</w:t>
      </w:r>
    </w:p>
    <w:p w:rsidR="002A5279" w:rsidRPr="00E23840" w:rsidRDefault="002A5279" w:rsidP="002A5279">
      <w:pPr>
        <w:numPr>
          <w:ilvl w:val="0"/>
          <w:numId w:val="1"/>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成交供应商应保证货物到达采购人所在地完好无损，如有缺漏、损坏，由供应商负责调换、补齐或赔偿。</w:t>
      </w:r>
    </w:p>
    <w:p w:rsidR="002A5279" w:rsidRPr="00E23840" w:rsidRDefault="002A5279" w:rsidP="002A5279">
      <w:pPr>
        <w:numPr>
          <w:ilvl w:val="0"/>
          <w:numId w:val="1"/>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2A5279" w:rsidRPr="00E23840" w:rsidRDefault="002A5279" w:rsidP="002A5279">
      <w:pPr>
        <w:numPr>
          <w:ilvl w:val="0"/>
          <w:numId w:val="2"/>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产品技术参数与采购合同一致，性能指标达到规定的标准；</w:t>
      </w:r>
    </w:p>
    <w:p w:rsidR="002A5279" w:rsidRPr="00E23840" w:rsidRDefault="002A5279" w:rsidP="002A5279">
      <w:pPr>
        <w:numPr>
          <w:ilvl w:val="0"/>
          <w:numId w:val="2"/>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产品技术资料、装箱单、授权文件等资料齐全；</w:t>
      </w:r>
    </w:p>
    <w:p w:rsidR="002A5279" w:rsidRPr="00E23840" w:rsidRDefault="002A5279" w:rsidP="002A5279">
      <w:pPr>
        <w:numPr>
          <w:ilvl w:val="0"/>
          <w:numId w:val="2"/>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在产品（系统）试运行期间所出现的问题得到解决，并运行正常；</w:t>
      </w:r>
    </w:p>
    <w:p w:rsidR="002A5279" w:rsidRPr="00E23840" w:rsidRDefault="002A5279" w:rsidP="002A5279">
      <w:pPr>
        <w:numPr>
          <w:ilvl w:val="0"/>
          <w:numId w:val="2"/>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在规定时间内完成交货并验收，并经采购人确认。</w:t>
      </w:r>
    </w:p>
    <w:p w:rsidR="002A5279" w:rsidRPr="00E23840" w:rsidRDefault="002A5279" w:rsidP="002A5279">
      <w:pPr>
        <w:numPr>
          <w:ilvl w:val="0"/>
          <w:numId w:val="1"/>
        </w:numPr>
        <w:tabs>
          <w:tab w:val="left" w:pos="851"/>
          <w:tab w:val="left" w:pos="993"/>
        </w:tabs>
        <w:adjustRightInd w:val="0"/>
        <w:snapToGrid w:val="0"/>
        <w:spacing w:line="360" w:lineRule="auto"/>
        <w:ind w:left="0" w:firstLine="426"/>
        <w:rPr>
          <w:szCs w:val="21"/>
          <w:lang/>
        </w:rPr>
      </w:pPr>
      <w:r w:rsidRPr="00E23840">
        <w:rPr>
          <w:rFonts w:ascii="宋体" w:hAnsi="宋体" w:hint="eastAsia"/>
          <w:szCs w:val="21"/>
        </w:rPr>
        <w:t>产品在部署调试并试运行符合要求后，才作为最终验收。</w:t>
      </w:r>
    </w:p>
    <w:p w:rsidR="002A5279" w:rsidRPr="00E23840" w:rsidRDefault="002A5279" w:rsidP="002A5279">
      <w:pPr>
        <w:numPr>
          <w:ilvl w:val="0"/>
          <w:numId w:val="1"/>
        </w:numPr>
        <w:tabs>
          <w:tab w:val="left" w:pos="851"/>
          <w:tab w:val="left" w:pos="993"/>
        </w:tabs>
        <w:adjustRightInd w:val="0"/>
        <w:snapToGrid w:val="0"/>
        <w:spacing w:line="360" w:lineRule="auto"/>
        <w:ind w:left="0" w:firstLine="426"/>
        <w:rPr>
          <w:rFonts w:ascii="宋体" w:hAnsi="宋体"/>
          <w:szCs w:val="21"/>
        </w:rPr>
      </w:pPr>
      <w:r w:rsidRPr="00E23840">
        <w:rPr>
          <w:rFonts w:ascii="宋体" w:hAnsi="宋体" w:hint="eastAsia"/>
          <w:szCs w:val="21"/>
        </w:rPr>
        <w:t>采购人对供应商交付的产品（包括质量、技术参数等）进行确认，</w:t>
      </w:r>
      <w:r w:rsidRPr="001F0A32">
        <w:rPr>
          <w:rFonts w:ascii="宋体" w:hAnsi="宋体" w:cs="宋体" w:hint="eastAsia"/>
          <w:kern w:val="0"/>
          <w:szCs w:val="21"/>
        </w:rPr>
        <w:t>按照《客运专线轨道几何状态测量仪暂行技术条件》及招标文件的要求进行验收</w:t>
      </w:r>
      <w:r w:rsidRPr="00E23840">
        <w:rPr>
          <w:rFonts w:ascii="宋体" w:hAnsi="宋体" w:hint="eastAsia"/>
          <w:szCs w:val="21"/>
        </w:rPr>
        <w:t>并出具书面验收意见。</w:t>
      </w:r>
    </w:p>
    <w:p w:rsidR="002A5279" w:rsidRPr="00E23840" w:rsidRDefault="002A5279" w:rsidP="002A5279">
      <w:pPr>
        <w:spacing w:line="440" w:lineRule="exact"/>
        <w:rPr>
          <w:rFonts w:ascii="宋体" w:hAnsi="宋体"/>
          <w:szCs w:val="21"/>
        </w:rPr>
      </w:pPr>
    </w:p>
    <w:p w:rsidR="002A5279" w:rsidRPr="00AA685A" w:rsidRDefault="002A5279" w:rsidP="002A5279">
      <w:pPr>
        <w:spacing w:line="400" w:lineRule="exact"/>
        <w:rPr>
          <w:rFonts w:ascii="宋体" w:hAnsi="宋体" w:hint="eastAsia"/>
          <w:b/>
          <w:bCs/>
          <w:sz w:val="24"/>
        </w:rPr>
      </w:pPr>
    </w:p>
    <w:p w:rsidR="00C62726" w:rsidRDefault="002A5279" w:rsidP="002A5279">
      <w:r w:rsidRPr="00A727F0">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5279"/>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279"/>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F096F"/>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F39"/>
    <w:rsid w:val="004C544A"/>
    <w:rsid w:val="004C6747"/>
    <w:rsid w:val="004D211F"/>
    <w:rsid w:val="004D287A"/>
    <w:rsid w:val="004D429B"/>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79"/>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A5279"/>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A5279"/>
    <w:rPr>
      <w:rFonts w:ascii="Arial" w:eastAsia="黑体" w:hAnsi="Arial" w:cs="Times New Roman"/>
      <w:b/>
      <w:bCs/>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2016-05-10T01:35:00Z</dcterms:created>
  <dcterms:modified xsi:type="dcterms:W3CDTF">2016-05-10T01:36:00Z</dcterms:modified>
</cp:coreProperties>
</file>