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8B" w:rsidRPr="001D184D" w:rsidRDefault="00DD198B" w:rsidP="00DD198B">
      <w:pPr>
        <w:pStyle w:val="1"/>
        <w:widowControl/>
        <w:spacing w:line="360" w:lineRule="auto"/>
        <w:ind w:left="283" w:hanging="425"/>
        <w:jc w:val="center"/>
      </w:pPr>
      <w:bookmarkStart w:id="0" w:name="_Toc462911995"/>
      <w:r w:rsidRPr="001D184D">
        <w:rPr>
          <w:rFonts w:hint="eastAsia"/>
        </w:rPr>
        <w:t>项目技术、商务及其他要求</w:t>
      </w:r>
      <w:bookmarkEnd w:id="0"/>
    </w:p>
    <w:p w:rsidR="00DD198B" w:rsidRPr="001D184D" w:rsidRDefault="00DD198B" w:rsidP="00DD198B">
      <w:pPr>
        <w:pStyle w:val="2"/>
        <w:numPr>
          <w:ilvl w:val="1"/>
          <w:numId w:val="0"/>
        </w:numPr>
        <w:tabs>
          <w:tab w:val="left" w:pos="426"/>
          <w:tab w:val="left" w:pos="567"/>
        </w:tabs>
        <w:spacing w:beforeLines="50" w:afterLines="50" w:line="360" w:lineRule="auto"/>
        <w:ind w:left="567" w:hanging="567"/>
        <w:jc w:val="left"/>
      </w:pPr>
      <w:bookmarkStart w:id="1" w:name="_Toc462911996"/>
      <w:bookmarkStart w:id="2" w:name="_Toc321334066"/>
      <w:r w:rsidRPr="001D184D">
        <w:rPr>
          <w:rFonts w:hint="eastAsia"/>
        </w:rPr>
        <w:t>采购内容</w:t>
      </w:r>
      <w:bookmarkEnd w:id="1"/>
    </w:p>
    <w:tbl>
      <w:tblPr>
        <w:tblW w:w="7099" w:type="dxa"/>
        <w:jc w:val="center"/>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0"/>
        <w:gridCol w:w="3703"/>
        <w:gridCol w:w="1134"/>
        <w:gridCol w:w="1192"/>
      </w:tblGrid>
      <w:tr w:rsidR="00DD198B" w:rsidRPr="001D184D" w:rsidTr="009E08B3">
        <w:trPr>
          <w:trHeight w:val="397"/>
          <w:jc w:val="center"/>
        </w:trPr>
        <w:tc>
          <w:tcPr>
            <w:tcW w:w="1070"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序号</w:t>
            </w:r>
          </w:p>
        </w:tc>
        <w:tc>
          <w:tcPr>
            <w:tcW w:w="3703"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设备名称</w:t>
            </w:r>
          </w:p>
        </w:tc>
        <w:tc>
          <w:tcPr>
            <w:tcW w:w="1134"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单位</w:t>
            </w:r>
          </w:p>
        </w:tc>
        <w:tc>
          <w:tcPr>
            <w:tcW w:w="1192"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数量</w:t>
            </w:r>
          </w:p>
        </w:tc>
      </w:tr>
      <w:tr w:rsidR="00DD198B" w:rsidRPr="001D184D" w:rsidTr="009E08B3">
        <w:trPr>
          <w:trHeight w:val="397"/>
          <w:jc w:val="center"/>
        </w:trPr>
        <w:tc>
          <w:tcPr>
            <w:tcW w:w="1070" w:type="dxa"/>
            <w:vAlign w:val="center"/>
          </w:tcPr>
          <w:p w:rsidR="00DD198B" w:rsidRPr="001D184D" w:rsidRDefault="00DD198B" w:rsidP="009E08B3">
            <w:pPr>
              <w:spacing w:line="0" w:lineRule="atLeast"/>
              <w:jc w:val="center"/>
              <w:rPr>
                <w:rFonts w:ascii="宋体" w:hAnsi="宋体"/>
                <w:szCs w:val="21"/>
              </w:rPr>
            </w:pPr>
            <w:r w:rsidRPr="001D184D">
              <w:rPr>
                <w:rFonts w:ascii="宋体" w:hAnsi="宋体" w:hint="eastAsia"/>
                <w:szCs w:val="21"/>
              </w:rPr>
              <w:t>1</w:t>
            </w:r>
          </w:p>
        </w:tc>
        <w:tc>
          <w:tcPr>
            <w:tcW w:w="3703" w:type="dxa"/>
            <w:vAlign w:val="center"/>
          </w:tcPr>
          <w:p w:rsidR="00DD198B" w:rsidRPr="001D184D" w:rsidRDefault="00DD198B" w:rsidP="009E08B3">
            <w:pPr>
              <w:spacing w:line="0" w:lineRule="atLeast"/>
              <w:jc w:val="center"/>
              <w:rPr>
                <w:rFonts w:ascii="宋体" w:hAnsi="宋体"/>
                <w:szCs w:val="21"/>
              </w:rPr>
            </w:pPr>
            <w:r w:rsidRPr="001D184D">
              <w:rPr>
                <w:rFonts w:ascii="宋体" w:hAnsi="宋体" w:hint="eastAsia"/>
                <w:szCs w:val="21"/>
              </w:rPr>
              <w:t>原位双轴疲劳试验系统</w:t>
            </w:r>
          </w:p>
        </w:tc>
        <w:tc>
          <w:tcPr>
            <w:tcW w:w="1134" w:type="dxa"/>
            <w:vAlign w:val="center"/>
          </w:tcPr>
          <w:p w:rsidR="00DD198B" w:rsidRPr="001D184D" w:rsidRDefault="00DD198B" w:rsidP="009E08B3">
            <w:pPr>
              <w:spacing w:line="0" w:lineRule="atLeast"/>
              <w:jc w:val="center"/>
              <w:rPr>
                <w:rFonts w:ascii="宋体" w:hAnsi="宋体"/>
                <w:szCs w:val="21"/>
              </w:rPr>
            </w:pPr>
            <w:r w:rsidRPr="001D184D">
              <w:rPr>
                <w:rFonts w:ascii="宋体" w:hAnsi="宋体" w:hint="eastAsia"/>
                <w:szCs w:val="21"/>
              </w:rPr>
              <w:t>套</w:t>
            </w:r>
          </w:p>
        </w:tc>
        <w:tc>
          <w:tcPr>
            <w:tcW w:w="1192"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1</w:t>
            </w:r>
          </w:p>
        </w:tc>
      </w:tr>
      <w:tr w:rsidR="00DD198B" w:rsidRPr="001D184D" w:rsidTr="009E08B3">
        <w:trPr>
          <w:trHeight w:val="397"/>
          <w:jc w:val="center"/>
        </w:trPr>
        <w:tc>
          <w:tcPr>
            <w:tcW w:w="1070" w:type="dxa"/>
            <w:vAlign w:val="center"/>
          </w:tcPr>
          <w:p w:rsidR="00DD198B" w:rsidRPr="001D184D" w:rsidRDefault="00DD198B" w:rsidP="009E08B3">
            <w:pPr>
              <w:spacing w:line="0" w:lineRule="atLeast"/>
              <w:jc w:val="center"/>
              <w:rPr>
                <w:rFonts w:ascii="宋体" w:hAnsi="宋体"/>
                <w:szCs w:val="21"/>
              </w:rPr>
            </w:pPr>
            <w:r w:rsidRPr="001D184D">
              <w:rPr>
                <w:rFonts w:ascii="宋体" w:hAnsi="宋体" w:hint="eastAsia"/>
                <w:szCs w:val="21"/>
              </w:rPr>
              <w:t>2</w:t>
            </w:r>
          </w:p>
        </w:tc>
        <w:tc>
          <w:tcPr>
            <w:tcW w:w="3703" w:type="dxa"/>
            <w:vAlign w:val="center"/>
          </w:tcPr>
          <w:p w:rsidR="00DD198B" w:rsidRPr="001D184D" w:rsidRDefault="00DD198B" w:rsidP="009E08B3">
            <w:pPr>
              <w:spacing w:line="0" w:lineRule="atLeast"/>
              <w:jc w:val="center"/>
              <w:rPr>
                <w:rFonts w:ascii="宋体" w:hAnsi="宋体"/>
                <w:szCs w:val="21"/>
              </w:rPr>
            </w:pPr>
            <w:proofErr w:type="gramStart"/>
            <w:r w:rsidRPr="001D184D">
              <w:rPr>
                <w:rFonts w:ascii="宋体" w:hAnsi="宋体" w:hint="eastAsia"/>
                <w:szCs w:val="21"/>
              </w:rPr>
              <w:t>拉扭组合试验</w:t>
            </w:r>
            <w:proofErr w:type="gramEnd"/>
            <w:r w:rsidRPr="001D184D">
              <w:rPr>
                <w:rFonts w:ascii="宋体" w:hAnsi="宋体" w:hint="eastAsia"/>
                <w:szCs w:val="21"/>
              </w:rPr>
              <w:t>机</w:t>
            </w:r>
          </w:p>
        </w:tc>
        <w:tc>
          <w:tcPr>
            <w:tcW w:w="1134" w:type="dxa"/>
            <w:vAlign w:val="center"/>
          </w:tcPr>
          <w:p w:rsidR="00DD198B" w:rsidRPr="001D184D" w:rsidRDefault="00DD198B" w:rsidP="009E08B3">
            <w:pPr>
              <w:spacing w:line="0" w:lineRule="atLeast"/>
              <w:jc w:val="center"/>
              <w:rPr>
                <w:rFonts w:ascii="宋体" w:hAnsi="宋体"/>
                <w:szCs w:val="21"/>
              </w:rPr>
            </w:pPr>
            <w:r w:rsidRPr="001D184D">
              <w:rPr>
                <w:rFonts w:ascii="宋体" w:hAnsi="宋体" w:hint="eastAsia"/>
                <w:szCs w:val="21"/>
              </w:rPr>
              <w:t>台</w:t>
            </w:r>
          </w:p>
        </w:tc>
        <w:tc>
          <w:tcPr>
            <w:tcW w:w="1192" w:type="dxa"/>
            <w:vAlign w:val="center"/>
          </w:tcPr>
          <w:p w:rsidR="00DD198B" w:rsidRPr="001D184D" w:rsidRDefault="00DD198B" w:rsidP="009E08B3">
            <w:pPr>
              <w:jc w:val="center"/>
              <w:rPr>
                <w:rFonts w:ascii="宋体" w:hAnsi="宋体"/>
                <w:szCs w:val="21"/>
              </w:rPr>
            </w:pPr>
            <w:r w:rsidRPr="001D184D">
              <w:rPr>
                <w:rFonts w:ascii="宋体" w:hAnsi="宋体" w:hint="eastAsia"/>
                <w:szCs w:val="21"/>
              </w:rPr>
              <w:t>1</w:t>
            </w:r>
          </w:p>
        </w:tc>
      </w:tr>
    </w:tbl>
    <w:p w:rsidR="00DD198B" w:rsidRPr="001D184D" w:rsidRDefault="00DD198B" w:rsidP="00DD198B">
      <w:pPr>
        <w:pStyle w:val="2"/>
        <w:numPr>
          <w:ilvl w:val="1"/>
          <w:numId w:val="0"/>
        </w:numPr>
        <w:tabs>
          <w:tab w:val="left" w:pos="426"/>
          <w:tab w:val="left" w:pos="567"/>
        </w:tabs>
        <w:spacing w:beforeLines="50" w:afterLines="50" w:line="360" w:lineRule="auto"/>
        <w:ind w:left="567" w:hanging="567"/>
        <w:jc w:val="left"/>
      </w:pPr>
      <w:bookmarkStart w:id="3" w:name="_Toc462911997"/>
      <w:r w:rsidRPr="001D184D">
        <w:rPr>
          <w:rFonts w:hint="eastAsia"/>
        </w:rPr>
        <w:t>技术参数及要求</w:t>
      </w:r>
      <w:bookmarkEnd w:id="3"/>
    </w:p>
    <w:tbl>
      <w:tblPr>
        <w:tblStyle w:val="a6"/>
        <w:tblW w:w="0" w:type="auto"/>
        <w:jc w:val="center"/>
        <w:tblLook w:val="04A0"/>
      </w:tblPr>
      <w:tblGrid>
        <w:gridCol w:w="796"/>
        <w:gridCol w:w="1325"/>
        <w:gridCol w:w="6401"/>
      </w:tblGrid>
      <w:tr w:rsidR="00DD198B" w:rsidRPr="001D184D" w:rsidTr="009E08B3">
        <w:trPr>
          <w:jc w:val="center"/>
        </w:trPr>
        <w:tc>
          <w:tcPr>
            <w:tcW w:w="834" w:type="dxa"/>
            <w:vAlign w:val="center"/>
          </w:tcPr>
          <w:p w:rsidR="00DD198B" w:rsidRPr="001D184D" w:rsidRDefault="00DD198B" w:rsidP="009E08B3">
            <w:pPr>
              <w:spacing w:beforeLines="50" w:afterLines="50"/>
              <w:jc w:val="center"/>
              <w:rPr>
                <w:b/>
                <w:sz w:val="21"/>
                <w:szCs w:val="21"/>
              </w:rPr>
            </w:pPr>
            <w:r w:rsidRPr="001D184D">
              <w:rPr>
                <w:rFonts w:hint="eastAsia"/>
                <w:b/>
                <w:sz w:val="21"/>
                <w:szCs w:val="21"/>
              </w:rPr>
              <w:t>序号</w:t>
            </w:r>
          </w:p>
        </w:tc>
        <w:tc>
          <w:tcPr>
            <w:tcW w:w="1417" w:type="dxa"/>
            <w:vAlign w:val="center"/>
          </w:tcPr>
          <w:p w:rsidR="00DD198B" w:rsidRPr="001D184D" w:rsidRDefault="00DD198B" w:rsidP="009E08B3">
            <w:pPr>
              <w:spacing w:beforeLines="50" w:afterLines="50"/>
              <w:jc w:val="center"/>
              <w:rPr>
                <w:b/>
                <w:sz w:val="21"/>
                <w:szCs w:val="21"/>
              </w:rPr>
            </w:pPr>
            <w:r w:rsidRPr="001D184D">
              <w:rPr>
                <w:rFonts w:hint="eastAsia"/>
                <w:b/>
                <w:sz w:val="21"/>
                <w:szCs w:val="21"/>
              </w:rPr>
              <w:t>名称</w:t>
            </w:r>
          </w:p>
        </w:tc>
        <w:tc>
          <w:tcPr>
            <w:tcW w:w="6929" w:type="dxa"/>
            <w:vAlign w:val="center"/>
          </w:tcPr>
          <w:p w:rsidR="00DD198B" w:rsidRPr="001D184D" w:rsidRDefault="00DD198B" w:rsidP="009E08B3">
            <w:pPr>
              <w:spacing w:beforeLines="50" w:afterLines="50"/>
              <w:jc w:val="center"/>
              <w:rPr>
                <w:b/>
                <w:sz w:val="21"/>
                <w:szCs w:val="21"/>
              </w:rPr>
            </w:pPr>
            <w:r w:rsidRPr="001D184D">
              <w:rPr>
                <w:rFonts w:hint="eastAsia"/>
                <w:b/>
                <w:sz w:val="21"/>
                <w:szCs w:val="21"/>
              </w:rPr>
              <w:t>详细技术指标及功能需求</w:t>
            </w:r>
          </w:p>
        </w:tc>
      </w:tr>
      <w:tr w:rsidR="00DD198B" w:rsidRPr="001D184D" w:rsidTr="009E08B3">
        <w:trPr>
          <w:trHeight w:val="349"/>
          <w:jc w:val="center"/>
        </w:trPr>
        <w:tc>
          <w:tcPr>
            <w:tcW w:w="834" w:type="dxa"/>
            <w:vAlign w:val="center"/>
          </w:tcPr>
          <w:p w:rsidR="00DD198B" w:rsidRPr="001D184D" w:rsidRDefault="00DD198B" w:rsidP="009E08B3">
            <w:pPr>
              <w:spacing w:beforeLines="50" w:afterLines="50"/>
              <w:jc w:val="cente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1</w:t>
            </w:r>
          </w:p>
        </w:tc>
        <w:tc>
          <w:tcPr>
            <w:tcW w:w="1417" w:type="dxa"/>
            <w:vAlign w:val="center"/>
          </w:tcPr>
          <w:p w:rsidR="00DD198B" w:rsidRPr="001D184D" w:rsidRDefault="00DD198B" w:rsidP="009E08B3">
            <w:pPr>
              <w:jc w:val="cente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原位双轴疲劳试验系统</w:t>
            </w:r>
          </w:p>
        </w:tc>
        <w:tc>
          <w:tcPr>
            <w:tcW w:w="6929" w:type="dxa"/>
            <w:vAlign w:val="center"/>
          </w:tcPr>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用于生物和高分子材料的力学原位实验。</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可以实现双向拉伸（压缩）的加载方式，可对多种材料进行面内力学测试；</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最大载荷±100N；位移最大行程不小于60mm；</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加载频率：静态-1Hz；</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 xml:space="preserve">#载荷分辨率：最大载荷的1/10000 </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#位移分辨率：0.1μm；</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#配备非接触式视频引伸计系统：分辨率800*600像素；3倍光学放大，变焦镜头；位深256灰度；采集速率100帧/s；</w:t>
            </w:r>
          </w:p>
        </w:tc>
      </w:tr>
      <w:tr w:rsidR="00DD198B" w:rsidRPr="001D184D" w:rsidTr="009E08B3">
        <w:trPr>
          <w:trHeight w:val="349"/>
          <w:jc w:val="center"/>
        </w:trPr>
        <w:tc>
          <w:tcPr>
            <w:tcW w:w="834" w:type="dxa"/>
            <w:vAlign w:val="center"/>
          </w:tcPr>
          <w:p w:rsidR="00DD198B" w:rsidRPr="001D184D" w:rsidRDefault="00DD198B" w:rsidP="009E08B3">
            <w:pPr>
              <w:spacing w:beforeLines="50" w:afterLines="50"/>
              <w:jc w:val="cente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2</w:t>
            </w:r>
          </w:p>
        </w:tc>
        <w:tc>
          <w:tcPr>
            <w:tcW w:w="1417" w:type="dxa"/>
            <w:vAlign w:val="center"/>
          </w:tcPr>
          <w:p w:rsidR="00DD198B" w:rsidRPr="001D184D" w:rsidRDefault="00DD198B" w:rsidP="009E08B3">
            <w:pPr>
              <w:jc w:val="center"/>
              <w:rPr>
                <w:rFonts w:asciiTheme="minorEastAsia" w:eastAsiaTheme="minorEastAsia" w:hAnsiTheme="minorEastAsia"/>
                <w:sz w:val="21"/>
                <w:szCs w:val="21"/>
              </w:rPr>
            </w:pPr>
            <w:proofErr w:type="gramStart"/>
            <w:r w:rsidRPr="001D184D">
              <w:rPr>
                <w:rFonts w:asciiTheme="minorEastAsia" w:eastAsiaTheme="minorEastAsia" w:hAnsiTheme="minorEastAsia" w:hint="eastAsia"/>
                <w:sz w:val="21"/>
                <w:szCs w:val="21"/>
              </w:rPr>
              <w:t>拉扭组合试验</w:t>
            </w:r>
            <w:proofErr w:type="gramEnd"/>
            <w:r w:rsidRPr="001D184D">
              <w:rPr>
                <w:rFonts w:asciiTheme="minorEastAsia" w:eastAsiaTheme="minorEastAsia" w:hAnsiTheme="minorEastAsia" w:hint="eastAsia"/>
                <w:sz w:val="21"/>
                <w:szCs w:val="21"/>
              </w:rPr>
              <w:t>机</w:t>
            </w:r>
          </w:p>
        </w:tc>
        <w:tc>
          <w:tcPr>
            <w:tcW w:w="6929" w:type="dxa"/>
            <w:vAlign w:val="center"/>
          </w:tcPr>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静态和动态疲劳性能测试，可实现材料的拉伸、压缩、扭转载荷作用下的拉伸、纯扭、蠕变、松弛、疲劳性能测试。</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可以同时实现拉-扭两个方向加载；</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测试空间： 60-140mm；</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 动态峰值载荷 ±150N；最大输出载荷 ±100N；扭矩峰值±5N•m；最大输出扭矩±3N•m；</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 作动器位移量程不小于15mm；位移分辨率0.1μm；</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转角分辨率0.018°；</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轴向作动频率：静态-30Hz；</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扭转作动频率：静态-1Hz；</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配备不少于2套夹具；</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配备常规高温炉系统：控制温度室温-300℃；</w:t>
            </w:r>
          </w:p>
          <w:p w:rsidR="00DD198B" w:rsidRPr="001D184D" w:rsidRDefault="00DD198B" w:rsidP="009E08B3">
            <w:pPr>
              <w:rPr>
                <w:rFonts w:asciiTheme="minorEastAsia" w:eastAsiaTheme="minorEastAsia" w:hAnsiTheme="minorEastAsia"/>
                <w:sz w:val="21"/>
                <w:szCs w:val="21"/>
              </w:rPr>
            </w:pPr>
            <w:r w:rsidRPr="001D184D">
              <w:rPr>
                <w:rFonts w:asciiTheme="minorEastAsia" w:eastAsiaTheme="minorEastAsia" w:hAnsiTheme="minorEastAsia" w:hint="eastAsia"/>
                <w:sz w:val="21"/>
                <w:szCs w:val="21"/>
              </w:rPr>
              <w:t>温度控制精度±1.5℃。</w:t>
            </w:r>
          </w:p>
        </w:tc>
      </w:tr>
    </w:tbl>
    <w:p w:rsidR="00DD198B" w:rsidRPr="001D184D" w:rsidRDefault="00DD198B" w:rsidP="00DD198B">
      <w:pPr>
        <w:pStyle w:val="2"/>
        <w:numPr>
          <w:ilvl w:val="1"/>
          <w:numId w:val="0"/>
        </w:numPr>
        <w:tabs>
          <w:tab w:val="left" w:pos="426"/>
          <w:tab w:val="left" w:pos="567"/>
        </w:tabs>
        <w:spacing w:beforeLines="50" w:afterLines="50" w:line="360" w:lineRule="auto"/>
        <w:ind w:left="567" w:hanging="567"/>
        <w:jc w:val="left"/>
      </w:pPr>
      <w:bookmarkStart w:id="4" w:name="_Toc462911998"/>
      <w:r w:rsidRPr="001D184D">
        <w:rPr>
          <w:rFonts w:hint="eastAsia"/>
        </w:rPr>
        <w:t>商务要求</w:t>
      </w:r>
      <w:bookmarkEnd w:id="4"/>
    </w:p>
    <w:p w:rsidR="00DD198B" w:rsidRPr="001D184D" w:rsidRDefault="00DD198B" w:rsidP="00DD198B">
      <w:pPr>
        <w:pStyle w:val="3"/>
        <w:numPr>
          <w:ilvl w:val="2"/>
          <w:numId w:val="0"/>
        </w:numPr>
        <w:tabs>
          <w:tab w:val="left" w:pos="709"/>
        </w:tabs>
        <w:spacing w:before="0" w:after="0" w:line="360" w:lineRule="auto"/>
        <w:jc w:val="left"/>
      </w:pPr>
      <w:bookmarkStart w:id="5" w:name="_Toc394403712"/>
      <w:bookmarkStart w:id="6" w:name="_Toc430269225"/>
      <w:bookmarkStart w:id="7" w:name="_Toc417649535"/>
      <w:bookmarkStart w:id="8" w:name="_Toc408305487"/>
      <w:bookmarkStart w:id="9" w:name="_Toc430269234"/>
      <w:bookmarkStart w:id="10" w:name="_Toc419104408"/>
      <w:bookmarkStart w:id="11" w:name="_Toc419104568"/>
      <w:bookmarkEnd w:id="5"/>
      <w:r w:rsidRPr="001D184D">
        <w:rPr>
          <w:rFonts w:hint="eastAsia"/>
        </w:rPr>
        <w:t>交货时间</w:t>
      </w:r>
      <w:bookmarkEnd w:id="6"/>
      <w:r w:rsidRPr="001D184D">
        <w:rPr>
          <w:rFonts w:hint="eastAsia"/>
        </w:rPr>
        <w:t>及地点</w:t>
      </w:r>
    </w:p>
    <w:p w:rsidR="00DD198B" w:rsidRPr="001D184D" w:rsidRDefault="00DD198B" w:rsidP="00DD198B">
      <w:pPr>
        <w:adjustRightInd w:val="0"/>
        <w:snapToGrid w:val="0"/>
        <w:spacing w:line="480" w:lineRule="auto"/>
        <w:ind w:rightChars="88" w:right="185" w:firstLineChars="200" w:firstLine="420"/>
        <w:rPr>
          <w:rFonts w:ascii="宋体" w:hAnsi="宋体"/>
          <w:szCs w:val="21"/>
        </w:rPr>
      </w:pPr>
      <w:r w:rsidRPr="001D184D">
        <w:rPr>
          <w:rFonts w:ascii="宋体" w:hAnsi="宋体" w:hint="eastAsia"/>
          <w:szCs w:val="21"/>
        </w:rPr>
        <w:t>时间：合同签订后15日内交货。</w:t>
      </w:r>
    </w:p>
    <w:p w:rsidR="00DD198B" w:rsidRPr="001D184D" w:rsidRDefault="00DD198B" w:rsidP="00DD198B">
      <w:pPr>
        <w:tabs>
          <w:tab w:val="left" w:pos="851"/>
        </w:tabs>
        <w:adjustRightInd w:val="0"/>
        <w:snapToGrid w:val="0"/>
        <w:spacing w:line="480" w:lineRule="auto"/>
        <w:ind w:rightChars="88" w:right="185" w:firstLineChars="200" w:firstLine="420"/>
        <w:rPr>
          <w:rFonts w:ascii="宋体" w:hAnsi="宋体"/>
          <w:szCs w:val="21"/>
        </w:rPr>
      </w:pPr>
      <w:r w:rsidRPr="001D184D">
        <w:rPr>
          <w:rFonts w:ascii="宋体" w:hAnsi="宋体" w:hint="eastAsia"/>
          <w:szCs w:val="21"/>
        </w:rPr>
        <w:lastRenderedPageBreak/>
        <w:t>地点：四川省成都市西南交通大学九里校区2号</w:t>
      </w:r>
      <w:r w:rsidRPr="001D184D">
        <w:rPr>
          <w:rFonts w:ascii="宋体" w:hAnsi="宋体"/>
          <w:szCs w:val="21"/>
        </w:rPr>
        <w:t>教学</w:t>
      </w:r>
      <w:proofErr w:type="gramStart"/>
      <w:r w:rsidRPr="001D184D">
        <w:rPr>
          <w:rFonts w:ascii="宋体" w:hAnsi="宋体" w:hint="eastAsia"/>
          <w:szCs w:val="21"/>
        </w:rPr>
        <w:t>楼用户</w:t>
      </w:r>
      <w:proofErr w:type="gramEnd"/>
      <w:r w:rsidRPr="001D184D">
        <w:rPr>
          <w:rFonts w:ascii="宋体" w:hAnsi="宋体" w:hint="eastAsia"/>
          <w:szCs w:val="21"/>
        </w:rPr>
        <w:t>指定实验室。</w:t>
      </w:r>
    </w:p>
    <w:p w:rsidR="00DD198B" w:rsidRPr="001D184D" w:rsidRDefault="00DD198B" w:rsidP="00DD198B">
      <w:pPr>
        <w:pStyle w:val="3"/>
        <w:numPr>
          <w:ilvl w:val="2"/>
          <w:numId w:val="0"/>
        </w:numPr>
        <w:tabs>
          <w:tab w:val="left" w:pos="709"/>
        </w:tabs>
        <w:spacing w:before="0" w:after="0" w:line="360" w:lineRule="auto"/>
        <w:jc w:val="left"/>
      </w:pPr>
      <w:bookmarkStart w:id="12" w:name="_Toc430269227"/>
      <w:bookmarkEnd w:id="7"/>
      <w:bookmarkEnd w:id="8"/>
      <w:r w:rsidRPr="001D184D">
        <w:rPr>
          <w:rFonts w:hint="eastAsia"/>
        </w:rPr>
        <w:t>质量保证期限</w:t>
      </w:r>
      <w:bookmarkEnd w:id="12"/>
    </w:p>
    <w:p w:rsidR="00DD198B" w:rsidRPr="001D184D" w:rsidRDefault="00DD198B" w:rsidP="00DD198B">
      <w:pPr>
        <w:tabs>
          <w:tab w:val="left" w:pos="0"/>
        </w:tabs>
        <w:spacing w:line="440" w:lineRule="exact"/>
        <w:ind w:firstLineChars="192" w:firstLine="403"/>
        <w:rPr>
          <w:szCs w:val="21"/>
        </w:rPr>
      </w:pPr>
      <w:r w:rsidRPr="001D184D">
        <w:rPr>
          <w:rFonts w:hint="eastAsia"/>
          <w:szCs w:val="21"/>
        </w:rPr>
        <w:t>免费质量保证期为自合同所列的货物安装调试验收合格签字确认之日起计算硬件不低于</w:t>
      </w:r>
      <w:r w:rsidRPr="001D184D">
        <w:rPr>
          <w:rFonts w:hint="eastAsia"/>
          <w:szCs w:val="21"/>
        </w:rPr>
        <w:t>1</w:t>
      </w:r>
      <w:r w:rsidRPr="001D184D">
        <w:rPr>
          <w:rFonts w:hint="eastAsia"/>
          <w:szCs w:val="21"/>
        </w:rPr>
        <w:t>年，软件免费升级不低于</w:t>
      </w:r>
      <w:r w:rsidRPr="001D184D">
        <w:rPr>
          <w:rFonts w:hint="eastAsia"/>
          <w:szCs w:val="21"/>
        </w:rPr>
        <w:t>2</w:t>
      </w:r>
      <w:r w:rsidRPr="001D184D">
        <w:rPr>
          <w:rFonts w:hint="eastAsia"/>
          <w:szCs w:val="21"/>
        </w:rPr>
        <w:t>年。</w:t>
      </w:r>
    </w:p>
    <w:p w:rsidR="00DD198B" w:rsidRPr="001D184D" w:rsidRDefault="00DD198B" w:rsidP="00DD198B">
      <w:pPr>
        <w:pStyle w:val="3"/>
        <w:numPr>
          <w:ilvl w:val="2"/>
          <w:numId w:val="0"/>
        </w:numPr>
        <w:tabs>
          <w:tab w:val="left" w:pos="709"/>
        </w:tabs>
        <w:spacing w:before="0" w:after="0" w:line="360" w:lineRule="auto"/>
        <w:jc w:val="left"/>
      </w:pPr>
      <w:r w:rsidRPr="001D184D">
        <w:rPr>
          <w:rFonts w:hint="eastAsia"/>
        </w:rPr>
        <w:t>现场培训</w:t>
      </w:r>
    </w:p>
    <w:p w:rsidR="00DD198B" w:rsidRPr="001D184D" w:rsidRDefault="00DD198B" w:rsidP="00DD198B">
      <w:pPr>
        <w:tabs>
          <w:tab w:val="left" w:pos="0"/>
        </w:tabs>
        <w:spacing w:line="440" w:lineRule="exact"/>
        <w:ind w:firstLineChars="192" w:firstLine="403"/>
        <w:rPr>
          <w:szCs w:val="21"/>
        </w:rPr>
      </w:pPr>
      <w:bookmarkStart w:id="13" w:name="_Toc430269230"/>
      <w:r w:rsidRPr="001D184D">
        <w:rPr>
          <w:rFonts w:hint="eastAsia"/>
          <w:szCs w:val="21"/>
        </w:rPr>
        <w:t>成交供应商应派专业技术人员到采购人指定的地点对采购人的教师或技术人员进行培训，直至采购人的教师或技术人员能熟练独立工作，同时能完成一般常见故障的维修工作为止，一切费用</w:t>
      </w:r>
      <w:proofErr w:type="gramStart"/>
      <w:r w:rsidRPr="001D184D">
        <w:rPr>
          <w:rFonts w:hint="eastAsia"/>
          <w:szCs w:val="21"/>
        </w:rPr>
        <w:t>由成交</w:t>
      </w:r>
      <w:proofErr w:type="gramEnd"/>
      <w:r w:rsidRPr="001D184D">
        <w:rPr>
          <w:rFonts w:hint="eastAsia"/>
          <w:szCs w:val="21"/>
        </w:rPr>
        <w:t>供应商承担。</w:t>
      </w:r>
    </w:p>
    <w:p w:rsidR="00DD198B" w:rsidRPr="001D184D" w:rsidRDefault="00DD198B" w:rsidP="00DD198B">
      <w:pPr>
        <w:pStyle w:val="3"/>
        <w:numPr>
          <w:ilvl w:val="2"/>
          <w:numId w:val="0"/>
        </w:numPr>
        <w:tabs>
          <w:tab w:val="left" w:pos="709"/>
        </w:tabs>
        <w:spacing w:before="0" w:after="0" w:line="360" w:lineRule="auto"/>
        <w:jc w:val="left"/>
      </w:pPr>
      <w:bookmarkStart w:id="14" w:name="_Toc430269229"/>
      <w:bookmarkStart w:id="15" w:name="_Toc430269232"/>
      <w:bookmarkEnd w:id="13"/>
      <w:r w:rsidRPr="001D184D">
        <w:rPr>
          <w:rFonts w:hint="eastAsia"/>
        </w:rPr>
        <w:t>验收标准</w:t>
      </w:r>
      <w:bookmarkEnd w:id="14"/>
    </w:p>
    <w:p w:rsidR="00DD198B" w:rsidRPr="001D184D" w:rsidRDefault="00DD198B" w:rsidP="00DD198B">
      <w:pPr>
        <w:numPr>
          <w:ilvl w:val="0"/>
          <w:numId w:val="1"/>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货物到达现场后，供应商应在采购人在场情况下当面开包，共同清点、检查外观，</w:t>
      </w:r>
      <w:proofErr w:type="gramStart"/>
      <w:r w:rsidRPr="001D184D">
        <w:rPr>
          <w:rFonts w:ascii="宋体" w:hAnsi="宋体" w:hint="eastAsia"/>
          <w:szCs w:val="21"/>
        </w:rPr>
        <w:t>作出</w:t>
      </w:r>
      <w:proofErr w:type="gramEnd"/>
      <w:r w:rsidRPr="001D184D">
        <w:rPr>
          <w:rFonts w:ascii="宋体" w:hAnsi="宋体" w:hint="eastAsia"/>
          <w:szCs w:val="21"/>
        </w:rPr>
        <w:t>验货记录，双方签字确认后开始安装调试。</w:t>
      </w:r>
    </w:p>
    <w:p w:rsidR="00DD198B" w:rsidRPr="001D184D" w:rsidRDefault="00DD198B" w:rsidP="00DD198B">
      <w:pPr>
        <w:numPr>
          <w:ilvl w:val="0"/>
          <w:numId w:val="1"/>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成交供应商应保证货物到达采购人所在地完好无损，如有缺漏、损坏，由供应商负责调换、补齐或赔偿。</w:t>
      </w:r>
    </w:p>
    <w:p w:rsidR="00DD198B" w:rsidRPr="001D184D" w:rsidRDefault="00DD198B" w:rsidP="00DD198B">
      <w:pPr>
        <w:numPr>
          <w:ilvl w:val="0"/>
          <w:numId w:val="1"/>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成交供应商应提供完备的技术资料、装箱单、授权文件和生产厂商提供的原厂正品出货证明材料（非装箱清单组成材料）等，并派遣专业技术人员进行现场部署调试。验收合格条件如下：</w:t>
      </w:r>
    </w:p>
    <w:p w:rsidR="00DD198B" w:rsidRPr="001D184D" w:rsidRDefault="00DD198B" w:rsidP="00DD198B">
      <w:pPr>
        <w:numPr>
          <w:ilvl w:val="0"/>
          <w:numId w:val="2"/>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产品技术参数与采购合同一致，性能指标达到规定的标准；</w:t>
      </w:r>
    </w:p>
    <w:p w:rsidR="00DD198B" w:rsidRPr="001D184D" w:rsidRDefault="00DD198B" w:rsidP="00DD198B">
      <w:pPr>
        <w:numPr>
          <w:ilvl w:val="0"/>
          <w:numId w:val="2"/>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产品技术资料、装箱单、授权文件等资料齐全；</w:t>
      </w:r>
    </w:p>
    <w:p w:rsidR="00DD198B" w:rsidRPr="001D184D" w:rsidRDefault="00DD198B" w:rsidP="00DD198B">
      <w:pPr>
        <w:numPr>
          <w:ilvl w:val="0"/>
          <w:numId w:val="2"/>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在产品（系统）试运行期间所出现的问题得到解决，并运行正常；</w:t>
      </w:r>
    </w:p>
    <w:p w:rsidR="00DD198B" w:rsidRPr="001D184D" w:rsidRDefault="00DD198B" w:rsidP="00DD198B">
      <w:pPr>
        <w:numPr>
          <w:ilvl w:val="0"/>
          <w:numId w:val="2"/>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在规定时间内完成交货并验收，并经采购人确认。</w:t>
      </w:r>
    </w:p>
    <w:p w:rsidR="00DD198B" w:rsidRPr="001D184D" w:rsidRDefault="00DD198B" w:rsidP="00DD198B">
      <w:pPr>
        <w:numPr>
          <w:ilvl w:val="0"/>
          <w:numId w:val="1"/>
        </w:numPr>
        <w:tabs>
          <w:tab w:val="left" w:pos="851"/>
          <w:tab w:val="left" w:pos="993"/>
        </w:tabs>
        <w:adjustRightInd w:val="0"/>
        <w:snapToGrid w:val="0"/>
        <w:spacing w:line="360" w:lineRule="auto"/>
        <w:ind w:left="0" w:firstLine="426"/>
        <w:rPr>
          <w:szCs w:val="21"/>
        </w:rPr>
      </w:pPr>
      <w:r w:rsidRPr="001D184D">
        <w:rPr>
          <w:rFonts w:ascii="宋体" w:hAnsi="宋体" w:hint="eastAsia"/>
          <w:szCs w:val="21"/>
        </w:rPr>
        <w:t>产品在部署调试并试运行符合要求后，才作为最终验收。</w:t>
      </w:r>
    </w:p>
    <w:p w:rsidR="00DD198B" w:rsidRPr="001D184D" w:rsidRDefault="00DD198B" w:rsidP="00DD198B">
      <w:pPr>
        <w:numPr>
          <w:ilvl w:val="0"/>
          <w:numId w:val="1"/>
        </w:numPr>
        <w:tabs>
          <w:tab w:val="left" w:pos="851"/>
          <w:tab w:val="left" w:pos="993"/>
        </w:tabs>
        <w:adjustRightInd w:val="0"/>
        <w:snapToGrid w:val="0"/>
        <w:spacing w:line="360" w:lineRule="auto"/>
        <w:ind w:left="0" w:firstLine="426"/>
        <w:rPr>
          <w:rFonts w:ascii="宋体" w:hAnsi="宋体"/>
          <w:szCs w:val="21"/>
        </w:rPr>
      </w:pPr>
      <w:r w:rsidRPr="001D184D">
        <w:rPr>
          <w:rFonts w:ascii="宋体" w:hAnsi="宋体" w:hint="eastAsia"/>
          <w:szCs w:val="21"/>
        </w:rPr>
        <w:t>采购人对供应商交付的产品（包括质量、技术参数等）进行确认，并出具书面验收意见。</w:t>
      </w:r>
    </w:p>
    <w:p w:rsidR="00DD198B" w:rsidRPr="001D184D" w:rsidRDefault="00DD198B" w:rsidP="00DD198B">
      <w:pPr>
        <w:pStyle w:val="3"/>
        <w:numPr>
          <w:ilvl w:val="2"/>
          <w:numId w:val="0"/>
        </w:numPr>
        <w:tabs>
          <w:tab w:val="left" w:pos="709"/>
        </w:tabs>
        <w:spacing w:before="0" w:after="0" w:line="360" w:lineRule="auto"/>
        <w:jc w:val="left"/>
      </w:pPr>
      <w:r w:rsidRPr="001D184D">
        <w:rPr>
          <w:rFonts w:hint="eastAsia"/>
        </w:rPr>
        <w:t>付款方式</w:t>
      </w:r>
      <w:bookmarkEnd w:id="15"/>
    </w:p>
    <w:p w:rsidR="00DD198B" w:rsidRPr="001D184D" w:rsidRDefault="00DD198B" w:rsidP="00DD198B">
      <w:pPr>
        <w:spacing w:line="440" w:lineRule="exact"/>
        <w:ind w:firstLineChars="200" w:firstLine="420"/>
        <w:rPr>
          <w:szCs w:val="21"/>
        </w:rPr>
      </w:pPr>
      <w:bookmarkStart w:id="16" w:name="_Toc430269233"/>
      <w:r w:rsidRPr="001D184D">
        <w:rPr>
          <w:szCs w:val="21"/>
        </w:rPr>
        <w:t xml:space="preserve">1. </w:t>
      </w:r>
      <w:r w:rsidRPr="001D184D">
        <w:rPr>
          <w:szCs w:val="21"/>
        </w:rPr>
        <w:t>分期付款，第一期，合同签署后支付</w:t>
      </w:r>
      <w:r w:rsidRPr="001D184D">
        <w:rPr>
          <w:rFonts w:hint="eastAsia"/>
          <w:szCs w:val="21"/>
        </w:rPr>
        <w:t>合同</w:t>
      </w:r>
      <w:r w:rsidRPr="001D184D">
        <w:rPr>
          <w:szCs w:val="21"/>
        </w:rPr>
        <w:t>总额的</w:t>
      </w:r>
      <w:r w:rsidRPr="001D184D">
        <w:rPr>
          <w:rFonts w:hint="eastAsia"/>
          <w:szCs w:val="21"/>
        </w:rPr>
        <w:t>6</w:t>
      </w:r>
      <w:r w:rsidRPr="001D184D">
        <w:rPr>
          <w:szCs w:val="21"/>
        </w:rPr>
        <w:t>0%</w:t>
      </w:r>
      <w:r w:rsidRPr="001D184D">
        <w:rPr>
          <w:szCs w:val="21"/>
        </w:rPr>
        <w:t>；第二期，货到验收合格，在</w:t>
      </w:r>
      <w:r w:rsidRPr="001D184D">
        <w:rPr>
          <w:rFonts w:hint="eastAsia"/>
          <w:szCs w:val="21"/>
        </w:rPr>
        <w:t>成交</w:t>
      </w:r>
      <w:r w:rsidRPr="001D184D">
        <w:rPr>
          <w:szCs w:val="21"/>
        </w:rPr>
        <w:t>人支付</w:t>
      </w:r>
      <w:r w:rsidRPr="001D184D">
        <w:rPr>
          <w:rFonts w:hint="eastAsia"/>
          <w:szCs w:val="21"/>
        </w:rPr>
        <w:t>采购</w:t>
      </w:r>
      <w:r w:rsidRPr="001D184D">
        <w:rPr>
          <w:szCs w:val="21"/>
        </w:rPr>
        <w:t>人</w:t>
      </w:r>
      <w:r w:rsidRPr="001D184D">
        <w:rPr>
          <w:szCs w:val="21"/>
        </w:rPr>
        <w:t>5%</w:t>
      </w:r>
      <w:r w:rsidRPr="001D184D">
        <w:rPr>
          <w:szCs w:val="21"/>
        </w:rPr>
        <w:t>的质保金后十个工作日内，</w:t>
      </w:r>
      <w:r w:rsidRPr="001D184D">
        <w:rPr>
          <w:rFonts w:hint="eastAsia"/>
          <w:szCs w:val="21"/>
        </w:rPr>
        <w:t>采购</w:t>
      </w:r>
      <w:r w:rsidRPr="001D184D">
        <w:rPr>
          <w:szCs w:val="21"/>
        </w:rPr>
        <w:t>人支付合同总额的</w:t>
      </w:r>
      <w:r w:rsidRPr="001D184D">
        <w:rPr>
          <w:rFonts w:hint="eastAsia"/>
          <w:szCs w:val="21"/>
        </w:rPr>
        <w:t>4</w:t>
      </w:r>
      <w:r w:rsidRPr="001D184D">
        <w:rPr>
          <w:szCs w:val="21"/>
        </w:rPr>
        <w:t>0%</w:t>
      </w:r>
      <w:r w:rsidRPr="001D184D">
        <w:rPr>
          <w:szCs w:val="21"/>
        </w:rPr>
        <w:t>；第三期，正常运行</w:t>
      </w:r>
      <w:r w:rsidRPr="001D184D">
        <w:rPr>
          <w:rFonts w:hint="eastAsia"/>
          <w:szCs w:val="21"/>
        </w:rPr>
        <w:t>一</w:t>
      </w:r>
      <w:r w:rsidRPr="001D184D">
        <w:rPr>
          <w:szCs w:val="21"/>
        </w:rPr>
        <w:t>年后</w:t>
      </w:r>
      <w:r w:rsidRPr="001D184D">
        <w:rPr>
          <w:rFonts w:hint="eastAsia"/>
          <w:szCs w:val="21"/>
        </w:rPr>
        <w:t>退还</w:t>
      </w:r>
      <w:r w:rsidRPr="001D184D">
        <w:rPr>
          <w:szCs w:val="21"/>
        </w:rPr>
        <w:t>质保金；</w:t>
      </w:r>
    </w:p>
    <w:p w:rsidR="00DD198B" w:rsidRPr="001D184D" w:rsidRDefault="00DD198B" w:rsidP="00DD198B">
      <w:pPr>
        <w:spacing w:line="440" w:lineRule="exact"/>
        <w:ind w:firstLineChars="200" w:firstLine="420"/>
        <w:rPr>
          <w:szCs w:val="21"/>
        </w:rPr>
      </w:pPr>
      <w:r w:rsidRPr="001D184D">
        <w:rPr>
          <w:szCs w:val="21"/>
        </w:rPr>
        <w:t>2.</w:t>
      </w:r>
      <w:r w:rsidRPr="001D184D">
        <w:rPr>
          <w:rFonts w:hint="eastAsia"/>
          <w:szCs w:val="21"/>
        </w:rPr>
        <w:t>成交人</w:t>
      </w:r>
      <w:r w:rsidRPr="001D184D">
        <w:rPr>
          <w:szCs w:val="21"/>
        </w:rPr>
        <w:t>需提供增值税专用发票。</w:t>
      </w:r>
    </w:p>
    <w:p w:rsidR="00DD198B" w:rsidRPr="001D184D" w:rsidRDefault="00DD198B" w:rsidP="00DD198B">
      <w:pPr>
        <w:pStyle w:val="3"/>
        <w:numPr>
          <w:ilvl w:val="2"/>
          <w:numId w:val="0"/>
        </w:numPr>
        <w:tabs>
          <w:tab w:val="left" w:pos="709"/>
        </w:tabs>
        <w:spacing w:before="0" w:after="0" w:line="360" w:lineRule="auto"/>
        <w:jc w:val="left"/>
      </w:pPr>
      <w:r w:rsidRPr="001D184D">
        <w:rPr>
          <w:rFonts w:hint="eastAsia"/>
        </w:rPr>
        <w:t>最高限价</w:t>
      </w:r>
      <w:bookmarkEnd w:id="16"/>
    </w:p>
    <w:p w:rsidR="00DD198B" w:rsidRPr="001D184D" w:rsidRDefault="00DD198B" w:rsidP="00DD198B">
      <w:pPr>
        <w:ind w:firstLineChars="200" w:firstLine="422"/>
        <w:rPr>
          <w:rFonts w:ascii="宋体" w:hAnsi="宋体"/>
          <w:b/>
          <w:szCs w:val="21"/>
        </w:rPr>
      </w:pPr>
      <w:r w:rsidRPr="001D184D">
        <w:rPr>
          <w:rFonts w:ascii="宋体" w:hAnsi="宋体" w:hint="eastAsia"/>
          <w:b/>
          <w:szCs w:val="21"/>
        </w:rPr>
        <w:t>★本项目最高限价为人民币</w:t>
      </w:r>
      <w:r w:rsidRPr="001D184D">
        <w:rPr>
          <w:rFonts w:ascii="宋体" w:hAnsi="宋体" w:hint="eastAsia"/>
          <w:b/>
          <w:szCs w:val="21"/>
          <w:u w:val="single"/>
        </w:rPr>
        <w:t>79.7</w:t>
      </w:r>
      <w:r w:rsidRPr="001D184D">
        <w:rPr>
          <w:rFonts w:ascii="宋体" w:hAnsi="宋体" w:hint="eastAsia"/>
          <w:b/>
          <w:szCs w:val="21"/>
        </w:rPr>
        <w:t>万元，供应商报价高于最高限价的则其响应文件将按无效响应文件处理。</w:t>
      </w:r>
    </w:p>
    <w:p w:rsidR="00DD198B" w:rsidRPr="001D184D" w:rsidRDefault="00DD198B" w:rsidP="00DD198B">
      <w:pPr>
        <w:pStyle w:val="2"/>
        <w:numPr>
          <w:ilvl w:val="1"/>
          <w:numId w:val="0"/>
        </w:numPr>
        <w:tabs>
          <w:tab w:val="left" w:pos="426"/>
          <w:tab w:val="left" w:pos="567"/>
        </w:tabs>
        <w:spacing w:beforeLines="50" w:afterLines="50" w:line="360" w:lineRule="auto"/>
        <w:ind w:left="567" w:hanging="567"/>
        <w:jc w:val="left"/>
      </w:pPr>
      <w:bookmarkStart w:id="17" w:name="_Toc462911999"/>
      <w:r w:rsidRPr="001D184D">
        <w:rPr>
          <w:rFonts w:hint="eastAsia"/>
        </w:rPr>
        <w:lastRenderedPageBreak/>
        <w:t>其他要求</w:t>
      </w:r>
      <w:bookmarkEnd w:id="9"/>
      <w:bookmarkEnd w:id="17"/>
    </w:p>
    <w:p w:rsidR="00DD198B" w:rsidRPr="001D184D" w:rsidRDefault="00DD198B" w:rsidP="00DD198B">
      <w:pPr>
        <w:numPr>
          <w:ilvl w:val="0"/>
          <w:numId w:val="3"/>
        </w:numPr>
        <w:tabs>
          <w:tab w:val="left" w:pos="1134"/>
        </w:tabs>
        <w:spacing w:line="360" w:lineRule="auto"/>
        <w:ind w:left="0" w:firstLine="567"/>
        <w:rPr>
          <w:rFonts w:ascii="宋体" w:hAnsi="宋体"/>
          <w:szCs w:val="21"/>
        </w:rPr>
      </w:pPr>
      <w:r w:rsidRPr="001D184D">
        <w:rPr>
          <w:rFonts w:ascii="宋体" w:hAnsi="宋体" w:hint="eastAsia"/>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DD198B" w:rsidRPr="001D184D" w:rsidRDefault="00DD198B" w:rsidP="00DD198B">
      <w:pPr>
        <w:numPr>
          <w:ilvl w:val="0"/>
          <w:numId w:val="3"/>
        </w:numPr>
        <w:tabs>
          <w:tab w:val="left" w:pos="1134"/>
        </w:tabs>
        <w:spacing w:line="360" w:lineRule="auto"/>
        <w:ind w:left="0" w:firstLine="567"/>
        <w:rPr>
          <w:rFonts w:ascii="宋体" w:hAnsi="宋体"/>
          <w:szCs w:val="21"/>
        </w:rPr>
      </w:pPr>
      <w:r w:rsidRPr="001D184D">
        <w:rPr>
          <w:rFonts w:ascii="宋体" w:hAnsi="宋体" w:hint="eastAsia"/>
          <w:szCs w:val="21"/>
        </w:rPr>
        <w:t>采购人享有本项目实施过程中产生的知识成果及知识产权。</w:t>
      </w:r>
    </w:p>
    <w:p w:rsidR="00DD198B" w:rsidRPr="001D184D" w:rsidRDefault="00DD198B" w:rsidP="00DD198B">
      <w:pPr>
        <w:numPr>
          <w:ilvl w:val="0"/>
          <w:numId w:val="3"/>
        </w:numPr>
        <w:tabs>
          <w:tab w:val="left" w:pos="1134"/>
        </w:tabs>
        <w:spacing w:line="360" w:lineRule="auto"/>
        <w:ind w:left="0" w:firstLine="567"/>
        <w:rPr>
          <w:rFonts w:ascii="宋体" w:hAnsi="宋体"/>
          <w:szCs w:val="21"/>
        </w:rPr>
      </w:pPr>
      <w:r w:rsidRPr="001D184D">
        <w:rPr>
          <w:rFonts w:ascii="宋体" w:hAnsi="宋体" w:hint="eastAsia"/>
          <w:szCs w:val="21"/>
        </w:rPr>
        <w:t>供应商如欲在项目实施过程中采用自有知识成果，需在响应文件中声明，并提供相关知识产权证明文件。使用</w:t>
      </w:r>
      <w:proofErr w:type="gramStart"/>
      <w:r w:rsidRPr="001D184D">
        <w:rPr>
          <w:rFonts w:ascii="宋体" w:hAnsi="宋体" w:hint="eastAsia"/>
          <w:szCs w:val="21"/>
        </w:rPr>
        <w:t>该知识</w:t>
      </w:r>
      <w:proofErr w:type="gramEnd"/>
      <w:r w:rsidRPr="001D184D">
        <w:rPr>
          <w:rFonts w:ascii="宋体" w:hAnsi="宋体" w:hint="eastAsia"/>
          <w:szCs w:val="21"/>
        </w:rPr>
        <w:t>成果后，供应商需提供开发接口和开发手册等技术文档，并承诺提供无限期技术支持，采购人享有永久使用权。</w:t>
      </w:r>
    </w:p>
    <w:p w:rsidR="00DD198B" w:rsidRPr="001D184D" w:rsidRDefault="00DD198B" w:rsidP="00DD198B">
      <w:pPr>
        <w:numPr>
          <w:ilvl w:val="0"/>
          <w:numId w:val="3"/>
        </w:numPr>
        <w:tabs>
          <w:tab w:val="left" w:pos="1134"/>
        </w:tabs>
        <w:spacing w:line="360" w:lineRule="auto"/>
        <w:ind w:left="0" w:firstLine="567"/>
        <w:rPr>
          <w:rFonts w:ascii="宋体" w:hAnsi="宋体"/>
          <w:szCs w:val="21"/>
        </w:rPr>
      </w:pPr>
      <w:r w:rsidRPr="001D184D">
        <w:rPr>
          <w:rFonts w:ascii="宋体" w:hAnsi="宋体" w:hint="eastAsia"/>
          <w:szCs w:val="21"/>
        </w:rPr>
        <w:t>如采用供应商所不拥有的知识产权的产品，则在报价中必须包括合法获取该知识产权的相关费用。</w:t>
      </w:r>
    </w:p>
    <w:bookmarkEnd w:id="2"/>
    <w:bookmarkEnd w:id="10"/>
    <w:bookmarkEnd w:id="11"/>
    <w:p w:rsidR="00F93926" w:rsidRPr="00DD198B" w:rsidRDefault="00DD198B" w:rsidP="00DD198B">
      <w:pPr>
        <w:rPr>
          <w:szCs w:val="21"/>
        </w:rPr>
      </w:pPr>
      <w:r w:rsidRPr="001D184D">
        <w:br w:type="page"/>
      </w:r>
    </w:p>
    <w:sectPr w:rsidR="00F93926" w:rsidRPr="00DD198B" w:rsidSect="00F93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7A5" w:rsidRDefault="00CE27A5" w:rsidP="00932768">
      <w:r>
        <w:separator/>
      </w:r>
    </w:p>
  </w:endnote>
  <w:endnote w:type="continuationSeparator" w:id="0">
    <w:p w:rsidR="00CE27A5" w:rsidRDefault="00CE27A5" w:rsidP="00932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7A5" w:rsidRDefault="00CE27A5" w:rsidP="00932768">
      <w:r>
        <w:separator/>
      </w:r>
    </w:p>
  </w:footnote>
  <w:footnote w:type="continuationSeparator" w:id="0">
    <w:p w:rsidR="00CE27A5" w:rsidRDefault="00CE27A5" w:rsidP="00932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C0A74EA"/>
    <w:lvl w:ilvl="0">
      <w:start w:val="1"/>
      <w:numFmt w:val="chineseCountingThousand"/>
      <w:lvlText w:val="%1、"/>
      <w:lvlJc w:val="left"/>
      <w:pPr>
        <w:ind w:left="988" w:hanging="420"/>
      </w:pPr>
      <w:rPr>
        <w:rFonts w:hint="eastAsia"/>
        <w:sz w:val="21"/>
        <w:szCs w:val="28"/>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00000009"/>
    <w:multiLevelType w:val="singleLevel"/>
    <w:tmpl w:val="00000009"/>
    <w:lvl w:ilvl="0">
      <w:start w:val="1"/>
      <w:numFmt w:val="decimal"/>
      <w:suff w:val="nothing"/>
      <w:lvlText w:val="%1、"/>
      <w:lvlJc w:val="left"/>
    </w:lvl>
  </w:abstractNum>
  <w:abstractNum w:abstractNumId="2">
    <w:nsid w:val="01A54C48"/>
    <w:multiLevelType w:val="hybridMultilevel"/>
    <w:tmpl w:val="7A104BB8"/>
    <w:lvl w:ilvl="0" w:tplc="0074ACE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7356F32"/>
    <w:multiLevelType w:val="singleLevel"/>
    <w:tmpl w:val="57356F32"/>
    <w:lvl w:ilvl="0">
      <w:start w:val="1"/>
      <w:numFmt w:val="decimal"/>
      <w:suff w:val="nothing"/>
      <w:lvlText w:val="%1、"/>
      <w:lvlJc w:val="left"/>
    </w:lvl>
  </w:abstractNum>
  <w:abstractNum w:abstractNumId="5">
    <w:nsid w:val="5784E825"/>
    <w:multiLevelType w:val="singleLevel"/>
    <w:tmpl w:val="5784E825"/>
    <w:lvl w:ilvl="0">
      <w:start w:val="1"/>
      <w:numFmt w:val="decimal"/>
      <w:suff w:val="nothing"/>
      <w:lvlText w:val="%1、"/>
      <w:lvlJc w:val="left"/>
    </w:lvl>
  </w:abstractNum>
  <w:abstractNum w:abstractNumId="6">
    <w:nsid w:val="58226B81"/>
    <w:multiLevelType w:val="hybridMultilevel"/>
    <w:tmpl w:val="2754191C"/>
    <w:lvl w:ilvl="0" w:tplc="04090013">
      <w:start w:val="1"/>
      <w:numFmt w:val="chineseCountingThousand"/>
      <w:lvlText w:val="%1、"/>
      <w:lvlJc w:val="left"/>
      <w:pPr>
        <w:ind w:left="420" w:hanging="420"/>
      </w:p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768"/>
    <w:rsid w:val="0000300F"/>
    <w:rsid w:val="00024F80"/>
    <w:rsid w:val="0008295F"/>
    <w:rsid w:val="00084EA6"/>
    <w:rsid w:val="00086570"/>
    <w:rsid w:val="00087718"/>
    <w:rsid w:val="00106A99"/>
    <w:rsid w:val="001076F8"/>
    <w:rsid w:val="00110F2F"/>
    <w:rsid w:val="001522A2"/>
    <w:rsid w:val="00170A45"/>
    <w:rsid w:val="00170EC1"/>
    <w:rsid w:val="00221B37"/>
    <w:rsid w:val="0025192D"/>
    <w:rsid w:val="00255DA8"/>
    <w:rsid w:val="00282DA2"/>
    <w:rsid w:val="002C3FB1"/>
    <w:rsid w:val="002E2A83"/>
    <w:rsid w:val="002F359F"/>
    <w:rsid w:val="002F70E9"/>
    <w:rsid w:val="003052AC"/>
    <w:rsid w:val="00307003"/>
    <w:rsid w:val="00323DAE"/>
    <w:rsid w:val="003260A5"/>
    <w:rsid w:val="003739B5"/>
    <w:rsid w:val="003B546A"/>
    <w:rsid w:val="003B6836"/>
    <w:rsid w:val="00403A77"/>
    <w:rsid w:val="00460708"/>
    <w:rsid w:val="004D6D5F"/>
    <w:rsid w:val="004D742B"/>
    <w:rsid w:val="00540E4C"/>
    <w:rsid w:val="00543140"/>
    <w:rsid w:val="00571382"/>
    <w:rsid w:val="005A620C"/>
    <w:rsid w:val="005D4774"/>
    <w:rsid w:val="005D5ADE"/>
    <w:rsid w:val="005E15D6"/>
    <w:rsid w:val="005E47DB"/>
    <w:rsid w:val="005F28BE"/>
    <w:rsid w:val="00606C15"/>
    <w:rsid w:val="00653BDA"/>
    <w:rsid w:val="0068041A"/>
    <w:rsid w:val="006B21D8"/>
    <w:rsid w:val="006E7751"/>
    <w:rsid w:val="007107A6"/>
    <w:rsid w:val="00742A89"/>
    <w:rsid w:val="0077075C"/>
    <w:rsid w:val="00770B98"/>
    <w:rsid w:val="00783EA6"/>
    <w:rsid w:val="00785222"/>
    <w:rsid w:val="007A1DF3"/>
    <w:rsid w:val="007A5E60"/>
    <w:rsid w:val="007C186F"/>
    <w:rsid w:val="007D0416"/>
    <w:rsid w:val="00803DB1"/>
    <w:rsid w:val="0082760F"/>
    <w:rsid w:val="008402A0"/>
    <w:rsid w:val="00881CDE"/>
    <w:rsid w:val="00885450"/>
    <w:rsid w:val="00916EF1"/>
    <w:rsid w:val="00921EEB"/>
    <w:rsid w:val="00932768"/>
    <w:rsid w:val="009417DE"/>
    <w:rsid w:val="0095043A"/>
    <w:rsid w:val="009B4E5E"/>
    <w:rsid w:val="00A41D4E"/>
    <w:rsid w:val="00B31DB8"/>
    <w:rsid w:val="00B50418"/>
    <w:rsid w:val="00B63DA5"/>
    <w:rsid w:val="00B774F7"/>
    <w:rsid w:val="00BA0291"/>
    <w:rsid w:val="00BC02EF"/>
    <w:rsid w:val="00C46D81"/>
    <w:rsid w:val="00C579DB"/>
    <w:rsid w:val="00C6602D"/>
    <w:rsid w:val="00CD4ECD"/>
    <w:rsid w:val="00CE27A5"/>
    <w:rsid w:val="00CF64BB"/>
    <w:rsid w:val="00D362A0"/>
    <w:rsid w:val="00DD198B"/>
    <w:rsid w:val="00E037FD"/>
    <w:rsid w:val="00E07B40"/>
    <w:rsid w:val="00E47C0D"/>
    <w:rsid w:val="00E54C11"/>
    <w:rsid w:val="00E76756"/>
    <w:rsid w:val="00E809F0"/>
    <w:rsid w:val="00E863F3"/>
    <w:rsid w:val="00EA562A"/>
    <w:rsid w:val="00F07019"/>
    <w:rsid w:val="00F6369A"/>
    <w:rsid w:val="00F808E8"/>
    <w:rsid w:val="00F93926"/>
    <w:rsid w:val="00FA5606"/>
    <w:rsid w:val="00FB2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6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03A77"/>
    <w:pPr>
      <w:keepNext/>
      <w:keepLines/>
      <w:spacing w:before="340" w:after="330" w:line="578" w:lineRule="auto"/>
      <w:outlineLvl w:val="0"/>
    </w:pPr>
    <w:rPr>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9327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403A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768"/>
    <w:rPr>
      <w:sz w:val="18"/>
      <w:szCs w:val="18"/>
    </w:rPr>
  </w:style>
  <w:style w:type="paragraph" w:styleId="a4">
    <w:name w:val="footer"/>
    <w:basedOn w:val="a"/>
    <w:link w:val="Char0"/>
    <w:uiPriority w:val="99"/>
    <w:semiHidden/>
    <w:unhideWhenUsed/>
    <w:rsid w:val="009327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768"/>
    <w:rPr>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rsid w:val="00932768"/>
    <w:rPr>
      <w:rFonts w:ascii="Arial" w:eastAsia="黑体" w:hAnsi="Arial" w:cs="Times New Roman"/>
      <w:b/>
      <w:bCs/>
      <w:sz w:val="32"/>
      <w:szCs w:val="32"/>
    </w:rPr>
  </w:style>
  <w:style w:type="paragraph" w:styleId="a5">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
    <w:rsid w:val="00932768"/>
    <w:pPr>
      <w:ind w:firstLineChars="200" w:firstLine="420"/>
    </w:pPr>
  </w:style>
  <w:style w:type="character" w:customStyle="1" w:styleId="Char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5"/>
    <w:rsid w:val="00932768"/>
    <w:rPr>
      <w:rFonts w:ascii="Times New Roman" w:eastAsia="宋体" w:hAnsi="Times New Roman" w:cs="Times New Roman"/>
      <w:szCs w:val="24"/>
    </w:rPr>
  </w:style>
  <w:style w:type="character" w:customStyle="1" w:styleId="1Char">
    <w:name w:val="标题 1 Char"/>
    <w:basedOn w:val="a0"/>
    <w:link w:val="1"/>
    <w:uiPriority w:val="9"/>
    <w:rsid w:val="00403A77"/>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rsid w:val="00403A77"/>
    <w:rPr>
      <w:rFonts w:ascii="Times New Roman" w:eastAsia="宋体" w:hAnsi="Times New Roman" w:cs="Times New Roman"/>
      <w:b/>
      <w:bCs/>
      <w:sz w:val="32"/>
      <w:szCs w:val="32"/>
    </w:rPr>
  </w:style>
  <w:style w:type="table" w:styleId="a6">
    <w:name w:val="Table Grid"/>
    <w:basedOn w:val="a1"/>
    <w:uiPriority w:val="59"/>
    <w:qFormat/>
    <w:rsid w:val="00653B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Words>
  <Characters>1363</Characters>
  <Application>Microsoft Office Word</Application>
  <DocSecurity>0</DocSecurity>
  <Lines>11</Lines>
  <Paragraphs>3</Paragraphs>
  <ScaleCrop>false</ScaleCrop>
  <Company>Microsoft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dc:creator>
  <cp:keywords/>
  <dc:description/>
  <cp:lastModifiedBy>刘丽</cp:lastModifiedBy>
  <cp:revision>15</cp:revision>
  <dcterms:created xsi:type="dcterms:W3CDTF">2016-09-19T02:09:00Z</dcterms:created>
  <dcterms:modified xsi:type="dcterms:W3CDTF">2016-09-29T08:06:00Z</dcterms:modified>
</cp:coreProperties>
</file>