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0A" w:rsidRPr="00A72D5B" w:rsidRDefault="0039430A" w:rsidP="0039430A">
      <w:pPr>
        <w:pStyle w:val="12"/>
        <w:jc w:val="center"/>
      </w:pPr>
      <w:bookmarkStart w:id="0" w:name="_Toc217446093"/>
      <w:bookmarkStart w:id="1" w:name="_Toc495325693"/>
      <w:bookmarkStart w:id="2" w:name="_Toc316292231"/>
      <w:bookmarkStart w:id="3" w:name="_Toc321382057"/>
      <w:r w:rsidRPr="00A72D5B">
        <w:rPr>
          <w:rFonts w:hint="eastAsia"/>
        </w:rPr>
        <w:t>技术、商务及其他要求</w:t>
      </w:r>
      <w:bookmarkEnd w:id="0"/>
      <w:bookmarkEnd w:id="1"/>
    </w:p>
    <w:p w:rsidR="0039430A" w:rsidRPr="00A72D5B" w:rsidRDefault="0039430A" w:rsidP="0039430A">
      <w:pPr>
        <w:pStyle w:val="21"/>
        <w:rPr>
          <w:sz w:val="21"/>
          <w:szCs w:val="21"/>
        </w:rPr>
      </w:pPr>
      <w:bookmarkStart w:id="4" w:name="_Toc414347857"/>
      <w:bookmarkStart w:id="5" w:name="_Toc417566432"/>
      <w:bookmarkStart w:id="6" w:name="_Toc477248550"/>
      <w:r w:rsidRPr="00A72D5B">
        <w:rPr>
          <w:rFonts w:hint="eastAsia"/>
          <w:sz w:val="21"/>
          <w:szCs w:val="21"/>
        </w:rPr>
        <w:t>采购</w:t>
      </w:r>
      <w:bookmarkEnd w:id="4"/>
      <w:bookmarkEnd w:id="5"/>
      <w:r w:rsidRPr="00A72D5B">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39430A" w:rsidRPr="00A72D5B" w:rsidTr="00C95FA8">
        <w:trPr>
          <w:trHeight w:val="454"/>
          <w:jc w:val="center"/>
        </w:trPr>
        <w:tc>
          <w:tcPr>
            <w:tcW w:w="1001" w:type="dxa"/>
            <w:vAlign w:val="center"/>
          </w:tcPr>
          <w:p w:rsidR="0039430A" w:rsidRPr="00A72D5B" w:rsidRDefault="0039430A" w:rsidP="00C95FA8">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A72D5B">
              <w:rPr>
                <w:rFonts w:hint="eastAsia"/>
                <w:b/>
                <w:szCs w:val="21"/>
              </w:rPr>
              <w:t>序号</w:t>
            </w:r>
          </w:p>
        </w:tc>
        <w:tc>
          <w:tcPr>
            <w:tcW w:w="2552" w:type="dxa"/>
            <w:vAlign w:val="center"/>
          </w:tcPr>
          <w:p w:rsidR="0039430A" w:rsidRPr="00A72D5B" w:rsidRDefault="0039430A" w:rsidP="00C95FA8">
            <w:pPr>
              <w:jc w:val="center"/>
              <w:rPr>
                <w:b/>
                <w:szCs w:val="21"/>
              </w:rPr>
            </w:pPr>
            <w:r w:rsidRPr="00A72D5B">
              <w:rPr>
                <w:rFonts w:hint="eastAsia"/>
                <w:b/>
                <w:szCs w:val="21"/>
              </w:rPr>
              <w:t>设备名称</w:t>
            </w:r>
          </w:p>
        </w:tc>
        <w:tc>
          <w:tcPr>
            <w:tcW w:w="2693" w:type="dxa"/>
            <w:vAlign w:val="center"/>
          </w:tcPr>
          <w:p w:rsidR="0039430A" w:rsidRPr="00A72D5B" w:rsidRDefault="0039430A" w:rsidP="00C95FA8">
            <w:pPr>
              <w:jc w:val="center"/>
              <w:rPr>
                <w:b/>
                <w:szCs w:val="21"/>
              </w:rPr>
            </w:pPr>
            <w:r w:rsidRPr="00A72D5B">
              <w:rPr>
                <w:rFonts w:hint="eastAsia"/>
                <w:b/>
                <w:szCs w:val="21"/>
              </w:rPr>
              <w:t>单位（台、套、</w:t>
            </w:r>
            <w:proofErr w:type="gramStart"/>
            <w:r w:rsidRPr="00A72D5B">
              <w:rPr>
                <w:rFonts w:hint="eastAsia"/>
                <w:b/>
                <w:szCs w:val="21"/>
              </w:rPr>
              <w:t>个</w:t>
            </w:r>
            <w:proofErr w:type="gramEnd"/>
            <w:r w:rsidRPr="00A72D5B">
              <w:rPr>
                <w:rFonts w:hint="eastAsia"/>
                <w:b/>
                <w:szCs w:val="21"/>
              </w:rPr>
              <w:t>等）</w:t>
            </w:r>
          </w:p>
        </w:tc>
        <w:tc>
          <w:tcPr>
            <w:tcW w:w="1794" w:type="dxa"/>
            <w:vAlign w:val="center"/>
          </w:tcPr>
          <w:p w:rsidR="0039430A" w:rsidRPr="00A72D5B" w:rsidRDefault="0039430A" w:rsidP="00C95FA8">
            <w:pPr>
              <w:jc w:val="center"/>
              <w:rPr>
                <w:b/>
                <w:szCs w:val="21"/>
              </w:rPr>
            </w:pPr>
            <w:r w:rsidRPr="00A72D5B">
              <w:rPr>
                <w:rFonts w:hint="eastAsia"/>
                <w:b/>
                <w:szCs w:val="21"/>
              </w:rPr>
              <w:t>数量</w:t>
            </w:r>
          </w:p>
        </w:tc>
      </w:tr>
      <w:tr w:rsidR="0039430A" w:rsidRPr="00A72D5B" w:rsidTr="00C95FA8">
        <w:trPr>
          <w:trHeight w:val="454"/>
          <w:jc w:val="center"/>
        </w:trPr>
        <w:tc>
          <w:tcPr>
            <w:tcW w:w="1001" w:type="dxa"/>
            <w:vAlign w:val="center"/>
          </w:tcPr>
          <w:p w:rsidR="0039430A" w:rsidRPr="00A72D5B" w:rsidRDefault="0039430A" w:rsidP="00C95FA8">
            <w:pPr>
              <w:jc w:val="center"/>
              <w:rPr>
                <w:rFonts w:ascii="宋体" w:hAnsi="宋体" w:cs="宋体"/>
                <w:szCs w:val="21"/>
              </w:rPr>
            </w:pPr>
            <w:r w:rsidRPr="00A72D5B">
              <w:rPr>
                <w:rFonts w:ascii="宋体" w:hAnsi="宋体" w:cs="宋体" w:hint="eastAsia"/>
                <w:szCs w:val="21"/>
              </w:rPr>
              <w:t>1</w:t>
            </w:r>
          </w:p>
        </w:tc>
        <w:tc>
          <w:tcPr>
            <w:tcW w:w="2552" w:type="dxa"/>
            <w:vAlign w:val="center"/>
          </w:tcPr>
          <w:p w:rsidR="0039430A" w:rsidRPr="00A72D5B" w:rsidRDefault="0039430A" w:rsidP="00C95FA8">
            <w:pPr>
              <w:jc w:val="center"/>
              <w:rPr>
                <w:rFonts w:ascii="宋体" w:hAnsi="宋体" w:cs="宋体"/>
                <w:szCs w:val="21"/>
              </w:rPr>
            </w:pPr>
            <w:r w:rsidRPr="00A72D5B">
              <w:rPr>
                <w:rFonts w:ascii="宋体" w:hAnsi="宋体" w:cs="宋体" w:hint="eastAsia"/>
                <w:szCs w:val="21"/>
              </w:rPr>
              <w:t>便携式分光光度计</w:t>
            </w:r>
          </w:p>
        </w:tc>
        <w:tc>
          <w:tcPr>
            <w:tcW w:w="2693" w:type="dxa"/>
            <w:vAlign w:val="center"/>
          </w:tcPr>
          <w:p w:rsidR="0039430A" w:rsidRPr="00A72D5B" w:rsidRDefault="0039430A" w:rsidP="00C95FA8">
            <w:pPr>
              <w:jc w:val="center"/>
              <w:rPr>
                <w:rFonts w:ascii="宋体" w:hAnsi="宋体" w:cs="宋体"/>
                <w:szCs w:val="21"/>
              </w:rPr>
            </w:pPr>
            <w:r w:rsidRPr="00A72D5B">
              <w:rPr>
                <w:rFonts w:ascii="宋体" w:hAnsi="宋体" w:cs="宋体" w:hint="eastAsia"/>
                <w:szCs w:val="21"/>
              </w:rPr>
              <w:t>台</w:t>
            </w:r>
          </w:p>
        </w:tc>
        <w:tc>
          <w:tcPr>
            <w:tcW w:w="1794" w:type="dxa"/>
            <w:vAlign w:val="center"/>
          </w:tcPr>
          <w:p w:rsidR="0039430A" w:rsidRPr="00A72D5B" w:rsidRDefault="0039430A" w:rsidP="00C95FA8">
            <w:pPr>
              <w:jc w:val="center"/>
              <w:rPr>
                <w:rFonts w:ascii="宋体" w:hAnsi="宋体" w:cs="宋体"/>
                <w:szCs w:val="21"/>
              </w:rPr>
            </w:pPr>
            <w:r w:rsidRPr="00A72D5B">
              <w:rPr>
                <w:rFonts w:ascii="宋体" w:hAnsi="宋体" w:cs="宋体" w:hint="eastAsia"/>
                <w:szCs w:val="21"/>
              </w:rPr>
              <w:t>3</w:t>
            </w:r>
          </w:p>
        </w:tc>
      </w:tr>
    </w:tbl>
    <w:p w:rsidR="0039430A" w:rsidRPr="00A72D5B" w:rsidRDefault="0039430A" w:rsidP="0039430A">
      <w:pPr>
        <w:pStyle w:val="21"/>
        <w:rPr>
          <w:sz w:val="21"/>
          <w:szCs w:val="21"/>
        </w:rPr>
      </w:pPr>
      <w:r w:rsidRPr="00A72D5B">
        <w:rPr>
          <w:rFonts w:hint="eastAsia"/>
          <w:sz w:val="21"/>
          <w:szCs w:val="21"/>
        </w:rPr>
        <w:t>技术参数及要求</w:t>
      </w:r>
      <w:bookmarkEnd w:id="7"/>
      <w:bookmarkEnd w:id="8"/>
      <w:bookmarkEnd w:id="9"/>
    </w:p>
    <w:tbl>
      <w:tblPr>
        <w:tblStyle w:val="ad"/>
        <w:tblW w:w="0" w:type="auto"/>
        <w:tblLook w:val="04A0"/>
      </w:tblPr>
      <w:tblGrid>
        <w:gridCol w:w="675"/>
        <w:gridCol w:w="1701"/>
        <w:gridCol w:w="5245"/>
        <w:gridCol w:w="851"/>
      </w:tblGrid>
      <w:tr w:rsidR="0039430A" w:rsidRPr="00A72D5B" w:rsidTr="00C95FA8">
        <w:tc>
          <w:tcPr>
            <w:tcW w:w="675" w:type="dxa"/>
            <w:vAlign w:val="center"/>
          </w:tcPr>
          <w:p w:rsidR="0039430A" w:rsidRPr="00A72D5B" w:rsidRDefault="0039430A" w:rsidP="0039430A">
            <w:pPr>
              <w:spacing w:beforeLines="50" w:afterLines="50"/>
              <w:jc w:val="center"/>
              <w:rPr>
                <w:rFonts w:asciiTheme="minorEastAsia" w:eastAsiaTheme="minorEastAsia" w:hAnsiTheme="minorEastAsia"/>
                <w:b/>
                <w:szCs w:val="21"/>
              </w:rPr>
            </w:pPr>
            <w:bookmarkStart w:id="22" w:name="_Toc477248552"/>
            <w:bookmarkEnd w:id="10"/>
            <w:r w:rsidRPr="00A72D5B">
              <w:rPr>
                <w:rFonts w:asciiTheme="minorEastAsia" w:eastAsiaTheme="minorEastAsia" w:hAnsiTheme="minorEastAsia" w:hint="eastAsia"/>
                <w:b/>
                <w:szCs w:val="21"/>
              </w:rPr>
              <w:t>序号</w:t>
            </w:r>
          </w:p>
        </w:tc>
        <w:tc>
          <w:tcPr>
            <w:tcW w:w="1701" w:type="dxa"/>
            <w:vAlign w:val="center"/>
          </w:tcPr>
          <w:p w:rsidR="0039430A" w:rsidRPr="00A72D5B" w:rsidRDefault="0039430A" w:rsidP="0039430A">
            <w:pPr>
              <w:spacing w:beforeLines="50" w:afterLines="50"/>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名称</w:t>
            </w:r>
          </w:p>
        </w:tc>
        <w:tc>
          <w:tcPr>
            <w:tcW w:w="5245" w:type="dxa"/>
            <w:vAlign w:val="center"/>
          </w:tcPr>
          <w:p w:rsidR="0039430A" w:rsidRPr="00A72D5B" w:rsidRDefault="0039430A" w:rsidP="0039430A">
            <w:pPr>
              <w:spacing w:beforeLines="50" w:afterLines="50"/>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详细技术指标及功能需求</w:t>
            </w:r>
          </w:p>
        </w:tc>
        <w:tc>
          <w:tcPr>
            <w:tcW w:w="851" w:type="dxa"/>
            <w:vAlign w:val="center"/>
          </w:tcPr>
          <w:p w:rsidR="0039430A" w:rsidRPr="00A72D5B" w:rsidRDefault="0039430A" w:rsidP="0039430A">
            <w:pPr>
              <w:spacing w:beforeLines="50" w:afterLines="50"/>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备注</w:t>
            </w:r>
          </w:p>
        </w:tc>
      </w:tr>
      <w:tr w:rsidR="0039430A" w:rsidRPr="00A72D5B" w:rsidTr="00C95FA8">
        <w:tc>
          <w:tcPr>
            <w:tcW w:w="675" w:type="dxa"/>
            <w:vAlign w:val="center"/>
          </w:tcPr>
          <w:p w:rsidR="0039430A" w:rsidRPr="00A72D5B" w:rsidRDefault="0039430A" w:rsidP="0039430A">
            <w:pPr>
              <w:spacing w:beforeLines="50" w:afterLines="50"/>
              <w:jc w:val="center"/>
              <w:rPr>
                <w:rFonts w:asciiTheme="minorEastAsia" w:eastAsiaTheme="minorEastAsia" w:hAnsiTheme="minorEastAsia"/>
                <w:b/>
                <w:szCs w:val="21"/>
              </w:rPr>
            </w:pPr>
            <w:r w:rsidRPr="00A72D5B">
              <w:rPr>
                <w:rFonts w:asciiTheme="minorEastAsia" w:eastAsiaTheme="minorEastAsia" w:hAnsiTheme="minorEastAsia" w:hint="eastAsia"/>
                <w:b/>
                <w:szCs w:val="21"/>
              </w:rPr>
              <w:t>1</w:t>
            </w:r>
          </w:p>
        </w:tc>
        <w:tc>
          <w:tcPr>
            <w:tcW w:w="1701" w:type="dxa"/>
            <w:vAlign w:val="center"/>
          </w:tcPr>
          <w:p w:rsidR="0039430A" w:rsidRPr="00A72D5B" w:rsidRDefault="0039430A" w:rsidP="00C95FA8">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便携式分光光度计</w:t>
            </w:r>
          </w:p>
        </w:tc>
        <w:tc>
          <w:tcPr>
            <w:tcW w:w="5245" w:type="dxa"/>
            <w:vAlign w:val="center"/>
          </w:tcPr>
          <w:p w:rsidR="0039430A" w:rsidRPr="00A72D5B" w:rsidRDefault="0039430A" w:rsidP="00C95FA8">
            <w:pPr>
              <w:jc w:val="left"/>
              <w:rPr>
                <w:rFonts w:asciiTheme="minorEastAsia" w:eastAsiaTheme="minorEastAsia" w:hAnsiTheme="minorEastAsia"/>
                <w:szCs w:val="21"/>
              </w:rPr>
            </w:pPr>
            <w:bookmarkStart w:id="23" w:name="OLE_LINK5"/>
            <w:r w:rsidRPr="00A72D5B">
              <w:rPr>
                <w:rFonts w:asciiTheme="minorEastAsia" w:eastAsiaTheme="minorEastAsia" w:hAnsiTheme="minorEastAsia" w:hint="eastAsia"/>
                <w:szCs w:val="21"/>
              </w:rPr>
              <w:t>1、工作条件：</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szCs w:val="21"/>
              </w:rPr>
              <w:t>1.1 温度：10~40°C ；</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szCs w:val="21"/>
              </w:rPr>
              <w:t>1.2 湿度：最大相对湿度80%（非冷凝）</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szCs w:val="21"/>
              </w:rPr>
              <w:t>2、技术性能指标：</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b/>
                <w:szCs w:val="21"/>
              </w:rPr>
              <w:t>★</w:t>
            </w:r>
            <w:r w:rsidRPr="00A72D5B">
              <w:rPr>
                <w:rFonts w:asciiTheme="minorEastAsia" w:eastAsiaTheme="minorEastAsia" w:hAnsiTheme="minorEastAsia" w:hint="eastAsia"/>
                <w:szCs w:val="21"/>
              </w:rPr>
              <w:t>2.1读数模式：吸光度（Abs）、透过率（%）；可用于分析COD、氨氮、总磷、总氮等多水质参数分析；</w:t>
            </w:r>
          </w:p>
          <w:p w:rsidR="0039430A" w:rsidRPr="00A72D5B" w:rsidRDefault="0039430A" w:rsidP="00C95FA8">
            <w:pPr>
              <w:jc w:val="left"/>
              <w:rPr>
                <w:rFonts w:asciiTheme="minorEastAsia" w:eastAsiaTheme="minorEastAsia" w:hAnsiTheme="minorEastAsia"/>
                <w:szCs w:val="21"/>
              </w:rPr>
            </w:pPr>
            <w:bookmarkStart w:id="24" w:name="OLE_LINK4"/>
            <w:r w:rsidRPr="00A72D5B">
              <w:rPr>
                <w:rFonts w:asciiTheme="minorEastAsia" w:eastAsiaTheme="minorEastAsia" w:hAnsiTheme="minorEastAsia" w:hint="eastAsia"/>
                <w:b/>
                <w:szCs w:val="21"/>
              </w:rPr>
              <w:t>★</w:t>
            </w:r>
            <w:bookmarkEnd w:id="24"/>
            <w:r w:rsidRPr="00A72D5B">
              <w:rPr>
                <w:rFonts w:asciiTheme="minorEastAsia" w:eastAsiaTheme="minorEastAsia" w:hAnsiTheme="minorEastAsia" w:hint="eastAsia"/>
                <w:szCs w:val="21"/>
              </w:rPr>
              <w:t>2.2波长范围：200~850 nm；</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b/>
                <w:szCs w:val="21"/>
              </w:rPr>
              <w:t>★</w:t>
            </w:r>
            <w:r w:rsidRPr="00A72D5B">
              <w:rPr>
                <w:rFonts w:asciiTheme="minorEastAsia" w:eastAsiaTheme="minorEastAsia" w:hAnsiTheme="minorEastAsia" w:hint="eastAsia"/>
                <w:szCs w:val="21"/>
              </w:rPr>
              <w:t xml:space="preserve">2.3光学分辨率：1.5 nm. </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szCs w:val="21"/>
              </w:rPr>
              <w:t>2.4积分时间1ms-65s，</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szCs w:val="21"/>
              </w:rPr>
              <w:t>2.5信噪比250：1；</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szCs w:val="21"/>
              </w:rPr>
              <w:t>2.6 600线光栅；</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szCs w:val="21"/>
              </w:rPr>
              <w:t>2.7杂散光435nm处小于0.1%，600nm处小于0.05%；</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szCs w:val="21"/>
              </w:rPr>
              <w:t>2.8可使用SMA905光纤连接，数值孔径0.22；</w:t>
            </w:r>
          </w:p>
          <w:p w:rsidR="0039430A" w:rsidRPr="00A72D5B" w:rsidRDefault="0039430A" w:rsidP="00C95FA8">
            <w:pPr>
              <w:jc w:val="left"/>
              <w:rPr>
                <w:rFonts w:asciiTheme="minorEastAsia" w:eastAsiaTheme="minorEastAsia" w:hAnsiTheme="minorEastAsia"/>
                <w:szCs w:val="21"/>
              </w:rPr>
            </w:pPr>
            <w:bookmarkStart w:id="25" w:name="OLE_LINK3"/>
            <w:r w:rsidRPr="00A72D5B">
              <w:rPr>
                <w:rFonts w:asciiTheme="minorEastAsia" w:eastAsiaTheme="minorEastAsia" w:hAnsiTheme="minorEastAsia" w:hint="eastAsia"/>
                <w:b/>
                <w:szCs w:val="21"/>
              </w:rPr>
              <w:t>★</w:t>
            </w:r>
            <w:bookmarkEnd w:id="25"/>
            <w:r w:rsidRPr="00A72D5B">
              <w:rPr>
                <w:rFonts w:asciiTheme="minorEastAsia" w:eastAsiaTheme="minorEastAsia" w:hAnsiTheme="minorEastAsia" w:hint="eastAsia"/>
                <w:szCs w:val="21"/>
              </w:rPr>
              <w:t>2.9光源重量1</w:t>
            </w:r>
            <w:r w:rsidRPr="00A72D5B">
              <w:rPr>
                <w:rFonts w:asciiTheme="minorEastAsia" w:eastAsiaTheme="minorEastAsia" w:hAnsiTheme="minorEastAsia"/>
                <w:szCs w:val="21"/>
              </w:rPr>
              <w:t>00-3</w:t>
            </w:r>
            <w:r w:rsidRPr="00A72D5B">
              <w:rPr>
                <w:rFonts w:asciiTheme="minorEastAsia" w:eastAsiaTheme="minorEastAsia" w:hAnsiTheme="minorEastAsia" w:hint="eastAsia"/>
                <w:szCs w:val="21"/>
              </w:rPr>
              <w:t>00g，波长范围200-1100nm，比色</w:t>
            </w:r>
            <w:proofErr w:type="gramStart"/>
            <w:r w:rsidRPr="00A72D5B">
              <w:rPr>
                <w:rFonts w:asciiTheme="minorEastAsia" w:eastAsiaTheme="minorEastAsia" w:hAnsiTheme="minorEastAsia" w:hint="eastAsia"/>
                <w:szCs w:val="21"/>
              </w:rPr>
              <w:t>皿光径</w:t>
            </w:r>
            <w:proofErr w:type="gramEnd"/>
            <w:r w:rsidRPr="00A72D5B">
              <w:rPr>
                <w:rFonts w:asciiTheme="minorEastAsia" w:eastAsiaTheme="minorEastAsia" w:hAnsiTheme="minorEastAsia" w:hint="eastAsia"/>
                <w:szCs w:val="21"/>
              </w:rPr>
              <w:t>1cm，光源灯泡寿命≥800小时。</w:t>
            </w:r>
          </w:p>
          <w:p w:rsidR="0039430A" w:rsidRPr="00A72D5B" w:rsidRDefault="0039430A" w:rsidP="00C95FA8">
            <w:pPr>
              <w:jc w:val="left"/>
              <w:rPr>
                <w:rFonts w:asciiTheme="minorEastAsia" w:eastAsiaTheme="minorEastAsia" w:hAnsiTheme="minorEastAsia"/>
                <w:szCs w:val="21"/>
              </w:rPr>
            </w:pPr>
            <w:r w:rsidRPr="00A72D5B">
              <w:rPr>
                <w:rFonts w:asciiTheme="minorEastAsia" w:eastAsiaTheme="minorEastAsia" w:hAnsiTheme="minorEastAsia" w:hint="eastAsia"/>
                <w:szCs w:val="21"/>
              </w:rPr>
              <w:t>2.10含设备操作软件及主机 1台；工作站软件 1套；控制终端一套（I7处理器，16G内存，22寸以上显示器；带Win7/10操作系统）。</w:t>
            </w:r>
            <w:bookmarkEnd w:id="23"/>
          </w:p>
        </w:tc>
        <w:tc>
          <w:tcPr>
            <w:tcW w:w="851" w:type="dxa"/>
            <w:vAlign w:val="center"/>
          </w:tcPr>
          <w:p w:rsidR="0039430A" w:rsidRPr="00A72D5B" w:rsidRDefault="0039430A" w:rsidP="0039430A">
            <w:pPr>
              <w:spacing w:beforeLines="50" w:afterLines="50"/>
              <w:jc w:val="center"/>
              <w:rPr>
                <w:rFonts w:asciiTheme="minorEastAsia" w:eastAsiaTheme="minorEastAsia" w:hAnsiTheme="minorEastAsia"/>
                <w:b/>
                <w:szCs w:val="21"/>
              </w:rPr>
            </w:pPr>
          </w:p>
        </w:tc>
      </w:tr>
    </w:tbl>
    <w:p w:rsidR="0039430A" w:rsidRPr="00A72D5B" w:rsidRDefault="0039430A" w:rsidP="0039430A">
      <w:pPr>
        <w:pStyle w:val="21"/>
        <w:rPr>
          <w:sz w:val="21"/>
          <w:szCs w:val="21"/>
        </w:rPr>
      </w:pPr>
      <w:r w:rsidRPr="00A72D5B">
        <w:rPr>
          <w:rFonts w:hint="eastAsia"/>
          <w:sz w:val="21"/>
          <w:szCs w:val="21"/>
        </w:rPr>
        <w:t>★</w:t>
      </w:r>
      <w:r w:rsidRPr="00A72D5B">
        <w:rPr>
          <w:sz w:val="21"/>
          <w:szCs w:val="21"/>
        </w:rPr>
        <w:t>项目履约时间</w:t>
      </w:r>
      <w:r w:rsidRPr="00A72D5B">
        <w:rPr>
          <w:rFonts w:hint="eastAsia"/>
          <w:sz w:val="21"/>
          <w:szCs w:val="21"/>
        </w:rPr>
        <w:t>、</w:t>
      </w:r>
      <w:r w:rsidRPr="00A72D5B">
        <w:rPr>
          <w:sz w:val="21"/>
          <w:szCs w:val="21"/>
        </w:rPr>
        <w:t>地点</w:t>
      </w:r>
      <w:bookmarkEnd w:id="22"/>
    </w:p>
    <w:p w:rsidR="0039430A" w:rsidRPr="00A72D5B" w:rsidRDefault="0039430A" w:rsidP="0039430A">
      <w:pPr>
        <w:spacing w:line="440" w:lineRule="exact"/>
        <w:ind w:firstLine="405"/>
        <w:rPr>
          <w:rFonts w:ascii="宋体"/>
          <w:szCs w:val="21"/>
        </w:rPr>
      </w:pPr>
      <w:r w:rsidRPr="00A72D5B">
        <w:rPr>
          <w:rFonts w:ascii="宋体" w:hint="eastAsia"/>
          <w:szCs w:val="21"/>
        </w:rPr>
        <w:t>合同签订后</w:t>
      </w:r>
      <w:r w:rsidRPr="00A72D5B">
        <w:rPr>
          <w:rFonts w:ascii="宋体"/>
          <w:szCs w:val="21"/>
          <w:u w:val="single"/>
        </w:rPr>
        <w:t>45</w:t>
      </w:r>
      <w:r w:rsidRPr="00A72D5B">
        <w:rPr>
          <w:rFonts w:ascii="宋体" w:hint="eastAsia"/>
          <w:szCs w:val="21"/>
        </w:rPr>
        <w:t>个日历日内交货，送至采购人指定地点。</w:t>
      </w:r>
    </w:p>
    <w:p w:rsidR="0039430A" w:rsidRPr="00A72D5B" w:rsidRDefault="0039430A" w:rsidP="0039430A">
      <w:pPr>
        <w:spacing w:line="440" w:lineRule="exact"/>
        <w:ind w:firstLine="405"/>
        <w:rPr>
          <w:rFonts w:ascii="宋体"/>
          <w:szCs w:val="21"/>
        </w:rPr>
      </w:pPr>
    </w:p>
    <w:p w:rsidR="0039430A" w:rsidRPr="00A72D5B" w:rsidRDefault="0039430A" w:rsidP="0039430A">
      <w:pPr>
        <w:spacing w:line="440" w:lineRule="exact"/>
        <w:ind w:firstLine="405"/>
        <w:rPr>
          <w:rFonts w:ascii="宋体" w:hAnsi="宋体"/>
          <w:szCs w:val="21"/>
        </w:rPr>
      </w:pPr>
      <w:r w:rsidRPr="00A72D5B">
        <w:rPr>
          <w:rFonts w:hint="eastAsia"/>
          <w:szCs w:val="21"/>
        </w:rPr>
        <w:t>开具信用证后</w:t>
      </w:r>
      <w:r w:rsidRPr="00A72D5B">
        <w:rPr>
          <w:szCs w:val="21"/>
        </w:rPr>
        <w:t>20</w:t>
      </w:r>
      <w:r w:rsidRPr="00A72D5B">
        <w:rPr>
          <w:rFonts w:hint="eastAsia"/>
          <w:szCs w:val="21"/>
        </w:rPr>
        <w:t>天内</w:t>
      </w:r>
      <w:r w:rsidRPr="00A72D5B">
        <w:rPr>
          <w:rFonts w:hint="eastAsia"/>
          <w:szCs w:val="21"/>
        </w:rPr>
        <w:t>CIP</w:t>
      </w:r>
      <w:r w:rsidRPr="00A72D5B">
        <w:rPr>
          <w:rFonts w:hint="eastAsia"/>
          <w:szCs w:val="21"/>
        </w:rPr>
        <w:t>成都，完成安装调试并通过验收。项目地点：</w:t>
      </w:r>
      <w:r w:rsidRPr="00A72D5B">
        <w:rPr>
          <w:rFonts w:ascii="宋体" w:hAnsi="宋体" w:hint="eastAsia"/>
          <w:szCs w:val="21"/>
        </w:rPr>
        <w:t>西南交通大学</w:t>
      </w:r>
      <w:proofErr w:type="gramStart"/>
      <w:r w:rsidRPr="00A72D5B">
        <w:rPr>
          <w:rFonts w:ascii="宋体" w:hAnsi="宋体" w:hint="eastAsia"/>
          <w:szCs w:val="21"/>
        </w:rPr>
        <w:t>犀</w:t>
      </w:r>
      <w:proofErr w:type="gramEnd"/>
      <w:r w:rsidRPr="00A72D5B">
        <w:rPr>
          <w:rFonts w:ascii="宋体" w:hAnsi="宋体" w:hint="eastAsia"/>
          <w:szCs w:val="21"/>
        </w:rPr>
        <w:t>浦校区环境工程管外实验室。</w:t>
      </w:r>
    </w:p>
    <w:p w:rsidR="0039430A" w:rsidRPr="00A72D5B" w:rsidRDefault="0039430A" w:rsidP="0039430A">
      <w:pPr>
        <w:pStyle w:val="21"/>
        <w:rPr>
          <w:sz w:val="21"/>
          <w:szCs w:val="21"/>
        </w:rPr>
      </w:pPr>
      <w:bookmarkStart w:id="26" w:name="_Toc417566437"/>
      <w:bookmarkStart w:id="27" w:name="_Toc477248553"/>
      <w:r w:rsidRPr="00A72D5B">
        <w:rPr>
          <w:rFonts w:hint="eastAsia"/>
          <w:sz w:val="21"/>
          <w:szCs w:val="21"/>
        </w:rPr>
        <w:lastRenderedPageBreak/>
        <w:t>★付款方式</w:t>
      </w:r>
      <w:bookmarkEnd w:id="26"/>
      <w:bookmarkEnd w:id="27"/>
    </w:p>
    <w:p w:rsidR="0039430A" w:rsidRPr="00A72D5B" w:rsidRDefault="0039430A" w:rsidP="0039430A">
      <w:pPr>
        <w:rPr>
          <w:szCs w:val="21"/>
        </w:rPr>
      </w:pPr>
      <w:bookmarkStart w:id="28" w:name="_Toc417566438"/>
      <w:r w:rsidRPr="00A72D5B">
        <w:rPr>
          <w:rFonts w:hint="eastAsia"/>
          <w:szCs w:val="21"/>
        </w:rPr>
        <w:t>国产设备：</w:t>
      </w:r>
    </w:p>
    <w:p w:rsidR="0039430A" w:rsidRPr="00A72D5B" w:rsidRDefault="0039430A" w:rsidP="0039430A">
      <w:pPr>
        <w:spacing w:line="440" w:lineRule="exact"/>
        <w:ind w:firstLineChars="200" w:firstLine="420"/>
        <w:rPr>
          <w:szCs w:val="21"/>
        </w:rPr>
      </w:pPr>
      <w:r w:rsidRPr="00A72D5B">
        <w:rPr>
          <w:szCs w:val="21"/>
        </w:rPr>
        <w:t>1.</w:t>
      </w:r>
      <w:r w:rsidRPr="00A72D5B">
        <w:rPr>
          <w:szCs w:val="21"/>
        </w:rPr>
        <w:t>分期付款，第一期，合同签署后支付</w:t>
      </w:r>
      <w:r w:rsidRPr="00A72D5B">
        <w:rPr>
          <w:rFonts w:hint="eastAsia"/>
          <w:szCs w:val="21"/>
        </w:rPr>
        <w:t>合同</w:t>
      </w:r>
      <w:r w:rsidRPr="00A72D5B">
        <w:rPr>
          <w:szCs w:val="21"/>
        </w:rPr>
        <w:t>总额的</w:t>
      </w:r>
      <w:r w:rsidRPr="00A72D5B">
        <w:rPr>
          <w:rFonts w:hint="eastAsia"/>
          <w:szCs w:val="21"/>
        </w:rPr>
        <w:t>6</w:t>
      </w:r>
      <w:r w:rsidRPr="00A72D5B">
        <w:rPr>
          <w:szCs w:val="21"/>
        </w:rPr>
        <w:t>0%</w:t>
      </w:r>
      <w:r w:rsidRPr="00A72D5B">
        <w:rPr>
          <w:szCs w:val="21"/>
        </w:rPr>
        <w:t>；第二期，货到验收合格，在</w:t>
      </w:r>
      <w:r w:rsidRPr="00A72D5B">
        <w:rPr>
          <w:rFonts w:hint="eastAsia"/>
          <w:szCs w:val="21"/>
        </w:rPr>
        <w:t>成交</w:t>
      </w:r>
      <w:r w:rsidRPr="00A72D5B">
        <w:rPr>
          <w:szCs w:val="21"/>
        </w:rPr>
        <w:t>人支付采购人</w:t>
      </w:r>
      <w:r w:rsidRPr="00A72D5B">
        <w:rPr>
          <w:szCs w:val="21"/>
        </w:rPr>
        <w:t>5%</w:t>
      </w:r>
      <w:r w:rsidRPr="00A72D5B">
        <w:rPr>
          <w:szCs w:val="21"/>
        </w:rPr>
        <w:t>的质保金后十个工作日内，采购人支付合同总额的</w:t>
      </w:r>
      <w:r w:rsidRPr="00A72D5B">
        <w:rPr>
          <w:rFonts w:hint="eastAsia"/>
          <w:szCs w:val="21"/>
        </w:rPr>
        <w:t>4</w:t>
      </w:r>
      <w:r w:rsidRPr="00A72D5B">
        <w:rPr>
          <w:szCs w:val="21"/>
        </w:rPr>
        <w:t>0%</w:t>
      </w:r>
      <w:r w:rsidRPr="00A72D5B">
        <w:rPr>
          <w:szCs w:val="21"/>
        </w:rPr>
        <w:t>；第三期，正常运行</w:t>
      </w:r>
      <w:r w:rsidRPr="00A72D5B">
        <w:rPr>
          <w:rFonts w:hint="eastAsia"/>
          <w:szCs w:val="21"/>
        </w:rPr>
        <w:t>一</w:t>
      </w:r>
      <w:r w:rsidRPr="00A72D5B">
        <w:rPr>
          <w:szCs w:val="21"/>
        </w:rPr>
        <w:t>年后</w:t>
      </w:r>
      <w:r w:rsidRPr="00A72D5B">
        <w:rPr>
          <w:rFonts w:hint="eastAsia"/>
          <w:szCs w:val="21"/>
        </w:rPr>
        <w:t>退还</w:t>
      </w:r>
      <w:r w:rsidRPr="00A72D5B">
        <w:rPr>
          <w:szCs w:val="21"/>
        </w:rPr>
        <w:t>质保金；</w:t>
      </w:r>
    </w:p>
    <w:p w:rsidR="0039430A" w:rsidRPr="00A72D5B" w:rsidRDefault="0039430A" w:rsidP="0039430A">
      <w:pPr>
        <w:spacing w:line="440" w:lineRule="exact"/>
        <w:ind w:firstLineChars="200" w:firstLine="420"/>
        <w:rPr>
          <w:szCs w:val="21"/>
        </w:rPr>
      </w:pPr>
      <w:r w:rsidRPr="00A72D5B">
        <w:rPr>
          <w:szCs w:val="21"/>
        </w:rPr>
        <w:t>2.</w:t>
      </w:r>
      <w:r w:rsidRPr="00A72D5B">
        <w:rPr>
          <w:rFonts w:hint="eastAsia"/>
          <w:szCs w:val="21"/>
        </w:rPr>
        <w:t>成交人</w:t>
      </w:r>
      <w:r w:rsidRPr="00A72D5B">
        <w:rPr>
          <w:szCs w:val="21"/>
        </w:rPr>
        <w:t>需提供增值税发票。</w:t>
      </w:r>
    </w:p>
    <w:p w:rsidR="0039430A" w:rsidRPr="00A72D5B" w:rsidRDefault="0039430A" w:rsidP="0039430A">
      <w:pPr>
        <w:rPr>
          <w:szCs w:val="21"/>
        </w:rPr>
      </w:pPr>
    </w:p>
    <w:p w:rsidR="0039430A" w:rsidRPr="00A72D5B" w:rsidRDefault="0039430A" w:rsidP="0039430A">
      <w:pPr>
        <w:rPr>
          <w:szCs w:val="21"/>
        </w:rPr>
      </w:pPr>
      <w:r w:rsidRPr="00A72D5B">
        <w:rPr>
          <w:rFonts w:hint="eastAsia"/>
          <w:szCs w:val="21"/>
        </w:rPr>
        <w:t>进口产品：</w:t>
      </w:r>
    </w:p>
    <w:p w:rsidR="0039430A" w:rsidRPr="00A72D5B" w:rsidRDefault="0039430A" w:rsidP="0039430A">
      <w:pPr>
        <w:spacing w:line="440" w:lineRule="exact"/>
        <w:ind w:firstLineChars="200" w:firstLine="420"/>
        <w:rPr>
          <w:szCs w:val="21"/>
        </w:rPr>
      </w:pPr>
      <w:r w:rsidRPr="00A72D5B">
        <w:rPr>
          <w:rFonts w:hAnsi="宋体"/>
          <w:szCs w:val="21"/>
          <w:lang w:val="en-GB"/>
        </w:rPr>
        <w:t>采用信用证</w:t>
      </w:r>
      <w:r w:rsidRPr="00A72D5B">
        <w:rPr>
          <w:rFonts w:hAnsi="宋体"/>
          <w:szCs w:val="21"/>
          <w:lang w:val="en-GB"/>
        </w:rPr>
        <w:t>L</w:t>
      </w:r>
      <w:r w:rsidRPr="00A72D5B">
        <w:rPr>
          <w:rFonts w:hAnsi="宋体" w:hint="eastAsia"/>
          <w:szCs w:val="21"/>
          <w:lang w:val="en-GB"/>
        </w:rPr>
        <w:t>/</w:t>
      </w:r>
      <w:r w:rsidRPr="00A72D5B">
        <w:rPr>
          <w:rFonts w:hAnsi="宋体"/>
          <w:szCs w:val="21"/>
          <w:lang w:val="en-GB"/>
        </w:rPr>
        <w:t>C</w:t>
      </w:r>
      <w:r w:rsidRPr="00A72D5B">
        <w:rPr>
          <w:rFonts w:hAnsi="宋体"/>
          <w:szCs w:val="21"/>
          <w:lang w:val="en-GB"/>
        </w:rPr>
        <w:t>方式支付，不迟于装运前</w:t>
      </w:r>
      <w:r w:rsidRPr="00A72D5B">
        <w:rPr>
          <w:rFonts w:hAnsi="宋体" w:hint="eastAsia"/>
          <w:szCs w:val="21"/>
          <w:lang w:val="en-GB"/>
        </w:rPr>
        <w:t>60</w:t>
      </w:r>
      <w:r w:rsidRPr="00A72D5B">
        <w:rPr>
          <w:rFonts w:hAnsi="宋体"/>
          <w:szCs w:val="21"/>
          <w:lang w:val="en-GB"/>
        </w:rPr>
        <w:t>天开具以卖方为受益人</w:t>
      </w:r>
      <w:r w:rsidRPr="00A72D5B">
        <w:rPr>
          <w:rFonts w:hAnsi="宋体" w:hint="eastAsia"/>
          <w:szCs w:val="21"/>
          <w:lang w:val="en-GB"/>
        </w:rPr>
        <w:t>、</w:t>
      </w:r>
      <w:r w:rsidRPr="00A72D5B">
        <w:rPr>
          <w:rFonts w:hAnsi="宋体"/>
          <w:szCs w:val="21"/>
          <w:lang w:val="en-GB"/>
        </w:rPr>
        <w:t>金额为装运货物全额的不可撤销信用证。凭运单收取</w:t>
      </w:r>
      <w:r w:rsidRPr="00A72D5B">
        <w:rPr>
          <w:rFonts w:hAnsi="宋体"/>
          <w:szCs w:val="21"/>
          <w:lang w:val="en-GB"/>
        </w:rPr>
        <w:t>90%</w:t>
      </w:r>
      <w:r w:rsidRPr="00A72D5B">
        <w:rPr>
          <w:rFonts w:hAnsi="宋体" w:hint="eastAsia"/>
          <w:szCs w:val="21"/>
          <w:lang w:val="en-GB"/>
        </w:rPr>
        <w:t>，</w:t>
      </w:r>
      <w:r w:rsidRPr="00A72D5B">
        <w:rPr>
          <w:rFonts w:hAnsi="宋体"/>
          <w:szCs w:val="21"/>
          <w:lang w:val="en-GB"/>
        </w:rPr>
        <w:t>余款凭</w:t>
      </w:r>
      <w:r w:rsidRPr="00A72D5B">
        <w:rPr>
          <w:rFonts w:hAnsi="宋体" w:hint="eastAsia"/>
          <w:szCs w:val="21"/>
          <w:lang w:val="en-GB"/>
        </w:rPr>
        <w:t>甲方</w:t>
      </w:r>
      <w:r w:rsidRPr="00A72D5B">
        <w:rPr>
          <w:rFonts w:hAnsi="宋体"/>
          <w:szCs w:val="21"/>
          <w:lang w:val="en-GB"/>
        </w:rPr>
        <w:t>签字</w:t>
      </w:r>
      <w:r w:rsidRPr="00A72D5B">
        <w:rPr>
          <w:rFonts w:hAnsi="宋体" w:hint="eastAsia"/>
          <w:szCs w:val="21"/>
          <w:lang w:val="en-GB"/>
        </w:rPr>
        <w:t>盖章</w:t>
      </w:r>
      <w:r w:rsidRPr="00A72D5B">
        <w:rPr>
          <w:rFonts w:hAnsi="宋体"/>
          <w:szCs w:val="21"/>
          <w:lang w:val="en-GB"/>
        </w:rPr>
        <w:t>的验收报告收取</w:t>
      </w:r>
      <w:r w:rsidRPr="00A72D5B">
        <w:rPr>
          <w:rFonts w:hAnsi="宋体" w:hint="eastAsia"/>
          <w:szCs w:val="21"/>
          <w:lang w:val="en-GB"/>
        </w:rPr>
        <w:t>。</w:t>
      </w:r>
    </w:p>
    <w:p w:rsidR="0039430A" w:rsidRPr="00A72D5B" w:rsidRDefault="0039430A" w:rsidP="0039430A">
      <w:pPr>
        <w:pStyle w:val="21"/>
        <w:rPr>
          <w:sz w:val="21"/>
          <w:szCs w:val="21"/>
        </w:rPr>
      </w:pPr>
      <w:bookmarkStart w:id="29" w:name="_Toc477248554"/>
      <w:bookmarkEnd w:id="28"/>
      <w:r w:rsidRPr="00A72D5B">
        <w:rPr>
          <w:rFonts w:hint="eastAsia"/>
          <w:sz w:val="21"/>
          <w:szCs w:val="21"/>
        </w:rPr>
        <w:t>服务要求</w:t>
      </w:r>
      <w:bookmarkEnd w:id="29"/>
    </w:p>
    <w:tbl>
      <w:tblPr>
        <w:tblW w:w="8472" w:type="dxa"/>
        <w:tblLayout w:type="fixed"/>
        <w:tblLook w:val="0000"/>
      </w:tblPr>
      <w:tblGrid>
        <w:gridCol w:w="674"/>
        <w:gridCol w:w="1561"/>
        <w:gridCol w:w="6237"/>
      </w:tblGrid>
      <w:tr w:rsidR="0039430A" w:rsidRPr="00A72D5B" w:rsidTr="00C95FA8">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b/>
              </w:rPr>
              <w:t>服务要求标准</w:t>
            </w:r>
          </w:p>
        </w:tc>
      </w:tr>
      <w:tr w:rsidR="0039430A" w:rsidRPr="00A72D5B" w:rsidTr="00C95FA8">
        <w:trPr>
          <w:trHeight w:val="6511"/>
        </w:trPr>
        <w:tc>
          <w:tcPr>
            <w:tcW w:w="674"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1、技术文件：应提供全套、完整的书面技术资料，包括仪器说明书、操作手册、简单维修说明等。</w:t>
            </w:r>
          </w:p>
          <w:p w:rsidR="0039430A" w:rsidRPr="00A72D5B" w:rsidRDefault="0039430A" w:rsidP="00C95FA8">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39430A" w:rsidRPr="00A72D5B" w:rsidRDefault="0039430A" w:rsidP="00C95FA8">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3、技术培训：在用户所在地对仪器使用者2-3人进行仪器操作和维护进行培训，使被培训人员达到能够熟练使用。培训内容包括仪器的技术原理、操作、数据处理、基本维护等。</w:t>
            </w:r>
          </w:p>
          <w:p w:rsidR="0039430A" w:rsidRPr="00A72D5B" w:rsidRDefault="0039430A" w:rsidP="00C95FA8">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4、保修期：提供</w:t>
            </w:r>
            <w:r w:rsidRPr="00A72D5B">
              <w:rPr>
                <w:rFonts w:asciiTheme="minorEastAsia" w:eastAsiaTheme="minorEastAsia" w:hAnsiTheme="minorEastAsia"/>
                <w:kern w:val="0"/>
              </w:rPr>
              <w:t>3</w:t>
            </w:r>
            <w:r w:rsidRPr="00A72D5B">
              <w:rPr>
                <w:rFonts w:asciiTheme="minorEastAsia" w:eastAsiaTheme="minorEastAsia" w:hAnsiTheme="minorEastAsia" w:hint="eastAsia"/>
                <w:kern w:val="0"/>
              </w:rPr>
              <w:t>年的免费保修,保修期自仪器验收签字之日起计算。保修期间维修及零件更换费用由供应商负担。</w:t>
            </w:r>
          </w:p>
          <w:p w:rsidR="0039430A" w:rsidRPr="00A72D5B" w:rsidRDefault="0039430A" w:rsidP="00C95FA8">
            <w:pPr>
              <w:snapToGrid w:val="0"/>
              <w:spacing w:line="360" w:lineRule="auto"/>
              <w:jc w:val="left"/>
              <w:rPr>
                <w:rFonts w:asciiTheme="minorEastAsia" w:eastAsiaTheme="minorEastAsia" w:hAnsiTheme="minorEastAsia"/>
                <w:kern w:val="0"/>
              </w:rPr>
            </w:pPr>
            <w:r w:rsidRPr="00A72D5B">
              <w:rPr>
                <w:rFonts w:asciiTheme="minorEastAsia" w:eastAsiaTheme="minorEastAsia" w:hAnsiTheme="minorEastAsia" w:hint="eastAsia"/>
                <w:kern w:val="0"/>
              </w:rPr>
              <w:t>5、维修响应时间：保修期内，在收到用户的维修服务要求后4小时内做出回应，48小时内到达用户现场进行维修，除需进口仪器配件外，应使仪器恢复正常使用。</w:t>
            </w:r>
          </w:p>
          <w:p w:rsidR="0039430A" w:rsidRPr="00A72D5B" w:rsidRDefault="0039430A" w:rsidP="00C95FA8">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6、软件升级：应免费向用户提供在硬件许可条件下的软件升级服务。</w:t>
            </w:r>
          </w:p>
        </w:tc>
      </w:tr>
      <w:tr w:rsidR="0039430A" w:rsidRPr="00A72D5B" w:rsidTr="00C95FA8">
        <w:tc>
          <w:tcPr>
            <w:tcW w:w="674"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投标人提供完善的售后服务方案，对项目售后服务内容的合理性、全面性进行综合比较评分。</w:t>
            </w:r>
          </w:p>
        </w:tc>
      </w:tr>
      <w:tr w:rsidR="0039430A" w:rsidRPr="00A72D5B" w:rsidTr="00C95FA8">
        <w:tc>
          <w:tcPr>
            <w:tcW w:w="674"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投标产品质保：设备硬件质保期为</w:t>
            </w:r>
            <w:r w:rsidRPr="00A72D5B">
              <w:rPr>
                <w:rFonts w:asciiTheme="minorEastAsia" w:eastAsiaTheme="minorEastAsia" w:hAnsiTheme="minorEastAsia"/>
                <w:kern w:val="0"/>
              </w:rPr>
              <w:t>3</w:t>
            </w:r>
            <w:r w:rsidRPr="00A72D5B">
              <w:rPr>
                <w:rFonts w:asciiTheme="minorEastAsia" w:eastAsiaTheme="minorEastAsia" w:hAnsiTheme="minorEastAsia" w:hint="eastAsia"/>
                <w:kern w:val="0"/>
              </w:rPr>
              <w:t>年，软件系统维护期为6年。</w:t>
            </w:r>
          </w:p>
        </w:tc>
      </w:tr>
      <w:tr w:rsidR="0039430A" w:rsidRPr="00A72D5B" w:rsidTr="00C95FA8">
        <w:tc>
          <w:tcPr>
            <w:tcW w:w="674"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投标人提供的备品备件方案完善、合理且具有针对性</w:t>
            </w:r>
          </w:p>
        </w:tc>
      </w:tr>
      <w:tr w:rsidR="0039430A" w:rsidRPr="00A72D5B" w:rsidTr="00C95FA8">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 xml:space="preserve">技术支持与服务体系健全，组织机构、管理和服务人员针对工程实际配置且合理。 </w:t>
            </w:r>
          </w:p>
        </w:tc>
      </w:tr>
      <w:tr w:rsidR="0039430A" w:rsidRPr="00A72D5B" w:rsidTr="00C95FA8">
        <w:tc>
          <w:tcPr>
            <w:tcW w:w="674"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39430A" w:rsidRPr="00A72D5B" w:rsidTr="00C95FA8">
        <w:tc>
          <w:tcPr>
            <w:tcW w:w="674"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rPr>
                <w:rFonts w:asciiTheme="minorEastAsia" w:eastAsiaTheme="minorEastAsia" w:hAnsiTheme="minorEastAsia"/>
                <w:b/>
                <w:bCs/>
                <w:szCs w:val="21"/>
              </w:rPr>
            </w:pPr>
            <w:r w:rsidRPr="00A72D5B">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b/>
                <w:bCs/>
                <w:szCs w:val="21"/>
              </w:rPr>
            </w:pPr>
            <w:r w:rsidRPr="00A72D5B">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napToGrid w:val="0"/>
              <w:spacing w:line="360" w:lineRule="auto"/>
              <w:jc w:val="left"/>
              <w:rPr>
                <w:rFonts w:asciiTheme="minorEastAsia" w:eastAsiaTheme="minorEastAsia" w:hAnsiTheme="minorEastAsia"/>
                <w:b/>
                <w:bCs/>
                <w:szCs w:val="21"/>
              </w:rPr>
            </w:pPr>
            <w:r w:rsidRPr="00A72D5B">
              <w:rPr>
                <w:rFonts w:asciiTheme="minorEastAsia" w:eastAsiaTheme="minorEastAsia" w:hAnsiTheme="minorEastAsia" w:hint="eastAsia"/>
                <w:kern w:val="0"/>
              </w:rPr>
              <w:t>投标人项目实施人员的学历、职称、资质认证等说明，并提供有效的证明材料；</w:t>
            </w:r>
          </w:p>
        </w:tc>
      </w:tr>
      <w:tr w:rsidR="0039430A" w:rsidRPr="00A72D5B" w:rsidTr="00C95FA8">
        <w:tc>
          <w:tcPr>
            <w:tcW w:w="674"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rPr>
                <w:rFonts w:asciiTheme="minorEastAsia" w:eastAsiaTheme="minorEastAsia" w:hAnsiTheme="minorEastAsia"/>
                <w:kern w:val="0"/>
                <w:sz w:val="18"/>
              </w:rPr>
            </w:pPr>
            <w:r w:rsidRPr="00A72D5B">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360" w:lineRule="auto"/>
              <w:jc w:val="center"/>
              <w:rPr>
                <w:rFonts w:asciiTheme="minorEastAsia" w:eastAsiaTheme="minorEastAsia" w:hAnsiTheme="minorEastAsia"/>
                <w:kern w:val="0"/>
              </w:rPr>
            </w:pPr>
            <w:r w:rsidRPr="00A72D5B">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napToGrid w:val="0"/>
              <w:spacing w:line="360" w:lineRule="auto"/>
              <w:jc w:val="left"/>
              <w:rPr>
                <w:rFonts w:asciiTheme="minorEastAsia" w:eastAsiaTheme="minorEastAsia" w:hAnsiTheme="minorEastAsia"/>
                <w:kern w:val="0"/>
                <w:sz w:val="18"/>
              </w:rPr>
            </w:pPr>
            <w:r w:rsidRPr="00A72D5B">
              <w:rPr>
                <w:rFonts w:asciiTheme="minorEastAsia" w:eastAsiaTheme="minorEastAsia" w:hAnsiTheme="minorEastAsia" w:hint="eastAsia"/>
                <w:kern w:val="0"/>
              </w:rPr>
              <w:t>投标人培训方案的完整性，包括内容、人员、时间、地点、频次等。</w:t>
            </w:r>
          </w:p>
        </w:tc>
      </w:tr>
      <w:tr w:rsidR="0039430A" w:rsidRPr="00A72D5B" w:rsidTr="00C95FA8">
        <w:trPr>
          <w:trHeight w:val="132"/>
        </w:trPr>
        <w:tc>
          <w:tcPr>
            <w:tcW w:w="674"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spacing w:line="440" w:lineRule="exact"/>
              <w:jc w:val="center"/>
              <w:rPr>
                <w:rFonts w:asciiTheme="minorEastAsia" w:eastAsiaTheme="minorEastAsia" w:hAnsiTheme="minorEastAsia"/>
                <w:szCs w:val="21"/>
              </w:rPr>
            </w:pPr>
            <w:r w:rsidRPr="00A72D5B">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jc w:val="center"/>
              <w:rPr>
                <w:rFonts w:asciiTheme="minorEastAsia" w:eastAsiaTheme="minorEastAsia" w:hAnsiTheme="minorEastAsia"/>
                <w:szCs w:val="21"/>
              </w:rPr>
            </w:pPr>
            <w:r w:rsidRPr="00A72D5B">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39430A" w:rsidRPr="00A72D5B" w:rsidRDefault="0039430A" w:rsidP="00C95FA8">
            <w:pPr>
              <w:rPr>
                <w:rFonts w:asciiTheme="minorEastAsia" w:eastAsiaTheme="minorEastAsia" w:hAnsiTheme="minorEastAsia"/>
                <w:szCs w:val="21"/>
              </w:rPr>
            </w:pPr>
            <w:r w:rsidRPr="00A72D5B">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EB06C8" w:rsidRPr="0039430A" w:rsidRDefault="0039430A" w:rsidP="0039430A">
      <w:pPr>
        <w:rPr>
          <w:szCs w:val="21"/>
        </w:rPr>
      </w:pPr>
      <w:r w:rsidRPr="00A72D5B">
        <w:br w:type="page"/>
      </w:r>
    </w:p>
    <w:sectPr w:rsidR="00EB06C8" w:rsidRPr="0039430A"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E2A" w:rsidRDefault="00A30E2A" w:rsidP="00EB06C8">
      <w:r>
        <w:separator/>
      </w:r>
    </w:p>
  </w:endnote>
  <w:endnote w:type="continuationSeparator" w:id="0">
    <w:p w:rsidR="00A30E2A" w:rsidRDefault="00A30E2A"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011221">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011221">
                <w:pPr>
                  <w:pStyle w:val="a8"/>
                </w:pPr>
                <w:fldSimple w:instr=" PAGE  \* MERGEFORMAT ">
                  <w:r w:rsidR="0039430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E2A" w:rsidRDefault="00A30E2A" w:rsidP="00EB06C8">
      <w:r>
        <w:separator/>
      </w:r>
    </w:p>
  </w:footnote>
  <w:footnote w:type="continuationSeparator" w:id="0">
    <w:p w:rsidR="00A30E2A" w:rsidRDefault="00A30E2A"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0"/>
  </w:num>
  <w:num w:numId="21">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2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11221"/>
    <w:rsid w:val="00024F80"/>
    <w:rsid w:val="00034FC6"/>
    <w:rsid w:val="00051B22"/>
    <w:rsid w:val="000530BE"/>
    <w:rsid w:val="00064431"/>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E1838"/>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239</Words>
  <Characters>1365</Characters>
  <Application>Microsoft Office Word</Application>
  <DocSecurity>0</DocSecurity>
  <Lines>11</Lines>
  <Paragraphs>3</Paragraphs>
  <ScaleCrop>false</ScaleCrop>
  <Company>Microsoft</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65</cp:revision>
  <cp:lastPrinted>2017-05-10T03:21:00Z</cp:lastPrinted>
  <dcterms:created xsi:type="dcterms:W3CDTF">2017-05-10T03:10:00Z</dcterms:created>
  <dcterms:modified xsi:type="dcterms:W3CDTF">2018-03-26T04:06:00Z</dcterms:modified>
</cp:coreProperties>
</file>