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9A" w:rsidRDefault="00B37B9A" w:rsidP="00B37B9A">
      <w:pPr>
        <w:pStyle w:val="1"/>
        <w:numPr>
          <w:ilvl w:val="0"/>
          <w:numId w:val="3"/>
        </w:numPr>
      </w:pPr>
      <w:bookmarkStart w:id="0" w:name="_Toc478378004"/>
      <w:r>
        <w:rPr>
          <w:rFonts w:hint="eastAsia"/>
        </w:rPr>
        <w:t>技术、商务及其他要求</w:t>
      </w:r>
      <w:bookmarkEnd w:id="0"/>
    </w:p>
    <w:p w:rsidR="00B37B9A" w:rsidRDefault="00B37B9A" w:rsidP="00B37B9A">
      <w:pPr>
        <w:pStyle w:val="2"/>
        <w:numPr>
          <w:ilvl w:val="1"/>
          <w:numId w:val="3"/>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636"/>
        <w:gridCol w:w="3366"/>
        <w:gridCol w:w="881"/>
        <w:gridCol w:w="1207"/>
        <w:gridCol w:w="759"/>
      </w:tblGrid>
      <w:tr w:rsidR="00B37B9A" w:rsidTr="00B37B9A">
        <w:tc>
          <w:tcPr>
            <w:tcW w:w="673" w:type="dxa"/>
            <w:tcBorders>
              <w:top w:val="single" w:sz="4" w:space="0" w:color="auto"/>
              <w:left w:val="single" w:sz="4" w:space="0" w:color="auto"/>
              <w:bottom w:val="single" w:sz="4" w:space="0" w:color="auto"/>
              <w:right w:val="single" w:sz="4" w:space="0" w:color="auto"/>
            </w:tcBorders>
            <w:vAlign w:val="center"/>
            <w:hideMark/>
          </w:tcPr>
          <w:p w:rsidR="00B37B9A" w:rsidRDefault="00B37B9A" w:rsidP="00746722">
            <w:pPr>
              <w:spacing w:beforeLines="50" w:afterLines="50"/>
              <w:jc w:val="center"/>
              <w:rPr>
                <w:rFonts w:asciiTheme="minorEastAsia" w:eastAsiaTheme="minorEastAsia" w:hAnsiTheme="minorEastAsia"/>
                <w:b/>
                <w:szCs w:val="21"/>
              </w:rPr>
            </w:pPr>
            <w:bookmarkStart w:id="4" w:name="_Toc405470380"/>
            <w:bookmarkStart w:id="5" w:name="_Toc477248551"/>
            <w:bookmarkStart w:id="6" w:name="_Toc417566433"/>
            <w:bookmarkStart w:id="7" w:name="_Toc414347862"/>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asciiTheme="minorEastAsia" w:eastAsiaTheme="minorEastAsia" w:hAnsiTheme="minorEastAsia" w:hint="eastAsia"/>
                <w:b/>
                <w:szCs w:val="21"/>
              </w:rPr>
              <w:t>序号</w:t>
            </w:r>
          </w:p>
        </w:tc>
        <w:tc>
          <w:tcPr>
            <w:tcW w:w="1636" w:type="dxa"/>
            <w:tcBorders>
              <w:top w:val="single" w:sz="4" w:space="0" w:color="auto"/>
              <w:left w:val="single" w:sz="4" w:space="0" w:color="auto"/>
              <w:bottom w:val="single" w:sz="4" w:space="0" w:color="auto"/>
              <w:right w:val="single" w:sz="4" w:space="0" w:color="auto"/>
            </w:tcBorders>
            <w:vAlign w:val="center"/>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3366" w:type="dxa"/>
            <w:tcBorders>
              <w:top w:val="single" w:sz="4" w:space="0" w:color="auto"/>
              <w:left w:val="single" w:sz="4" w:space="0" w:color="auto"/>
              <w:bottom w:val="single" w:sz="4" w:space="0" w:color="auto"/>
              <w:right w:val="single" w:sz="4" w:space="0" w:color="auto"/>
            </w:tcBorders>
            <w:vAlign w:val="center"/>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详细技术指标及功能需求</w:t>
            </w:r>
          </w:p>
        </w:tc>
        <w:tc>
          <w:tcPr>
            <w:tcW w:w="881" w:type="dxa"/>
            <w:tcBorders>
              <w:top w:val="single" w:sz="4" w:space="0" w:color="auto"/>
              <w:left w:val="single" w:sz="4" w:space="0" w:color="auto"/>
              <w:bottom w:val="single" w:sz="4" w:space="0" w:color="auto"/>
              <w:right w:val="single" w:sz="4" w:space="0" w:color="auto"/>
            </w:tcBorders>
            <w:vAlign w:val="center"/>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单位</w:t>
            </w:r>
          </w:p>
        </w:tc>
        <w:tc>
          <w:tcPr>
            <w:tcW w:w="1207" w:type="dxa"/>
            <w:tcBorders>
              <w:top w:val="single" w:sz="4" w:space="0" w:color="auto"/>
              <w:left w:val="single" w:sz="4" w:space="0" w:color="auto"/>
              <w:bottom w:val="single" w:sz="4" w:space="0" w:color="auto"/>
              <w:right w:val="single" w:sz="4" w:space="0" w:color="auto"/>
            </w:tcBorders>
            <w:vAlign w:val="center"/>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759" w:type="dxa"/>
            <w:tcBorders>
              <w:top w:val="single" w:sz="4" w:space="0" w:color="auto"/>
              <w:left w:val="single" w:sz="4" w:space="0" w:color="auto"/>
              <w:bottom w:val="single" w:sz="4" w:space="0" w:color="auto"/>
              <w:right w:val="single" w:sz="4" w:space="0" w:color="auto"/>
            </w:tcBorders>
            <w:vAlign w:val="center"/>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备注</w:t>
            </w:r>
          </w:p>
        </w:tc>
      </w:tr>
      <w:tr w:rsidR="00B37B9A" w:rsidTr="00B37B9A">
        <w:trPr>
          <w:trHeight w:val="377"/>
        </w:trPr>
        <w:tc>
          <w:tcPr>
            <w:tcW w:w="673"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636"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大米</w:t>
            </w:r>
          </w:p>
        </w:tc>
        <w:tc>
          <w:tcPr>
            <w:tcW w:w="3366"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籼米二级</w:t>
            </w:r>
          </w:p>
        </w:tc>
        <w:tc>
          <w:tcPr>
            <w:tcW w:w="881"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斤</w:t>
            </w:r>
          </w:p>
        </w:tc>
        <w:tc>
          <w:tcPr>
            <w:tcW w:w="1207"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320000.00</w:t>
            </w:r>
          </w:p>
        </w:tc>
        <w:tc>
          <w:tcPr>
            <w:tcW w:w="759" w:type="dxa"/>
            <w:tcBorders>
              <w:top w:val="single" w:sz="4" w:space="0" w:color="auto"/>
              <w:left w:val="single" w:sz="4" w:space="0" w:color="auto"/>
              <w:bottom w:val="single" w:sz="4" w:space="0" w:color="auto"/>
              <w:right w:val="single" w:sz="4" w:space="0" w:color="auto"/>
            </w:tcBorders>
          </w:tcPr>
          <w:p w:rsidR="00B37B9A" w:rsidRDefault="00B37B9A" w:rsidP="00746722">
            <w:pPr>
              <w:spacing w:beforeLines="50" w:afterLines="50"/>
              <w:jc w:val="center"/>
              <w:rPr>
                <w:rFonts w:asciiTheme="minorEastAsia" w:eastAsiaTheme="minorEastAsia" w:hAnsiTheme="minorEastAsia"/>
                <w:b/>
                <w:szCs w:val="21"/>
              </w:rPr>
            </w:pPr>
          </w:p>
        </w:tc>
      </w:tr>
      <w:tr w:rsidR="00B37B9A" w:rsidTr="00B37B9A">
        <w:tc>
          <w:tcPr>
            <w:tcW w:w="673"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36"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香米</w:t>
            </w:r>
          </w:p>
        </w:tc>
        <w:tc>
          <w:tcPr>
            <w:tcW w:w="3366" w:type="dxa"/>
            <w:tcBorders>
              <w:top w:val="single" w:sz="4" w:space="0" w:color="auto"/>
              <w:left w:val="single" w:sz="4" w:space="0" w:color="auto"/>
              <w:bottom w:val="single" w:sz="4" w:space="0" w:color="auto"/>
              <w:right w:val="single" w:sz="4" w:space="0" w:color="auto"/>
            </w:tcBorders>
          </w:tcPr>
          <w:p w:rsidR="00B37B9A" w:rsidRDefault="00B37B9A" w:rsidP="00746722">
            <w:pPr>
              <w:spacing w:beforeLines="50" w:afterLines="50"/>
              <w:jc w:val="center"/>
              <w:rPr>
                <w:rFonts w:asciiTheme="minorEastAsia" w:eastAsiaTheme="minorEastAsia" w:hAnsiTheme="minorEastAsia"/>
                <w:szCs w:val="21"/>
              </w:rPr>
            </w:pPr>
          </w:p>
        </w:tc>
        <w:tc>
          <w:tcPr>
            <w:tcW w:w="881"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斤</w:t>
            </w:r>
          </w:p>
        </w:tc>
        <w:tc>
          <w:tcPr>
            <w:tcW w:w="1207"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21000.00</w:t>
            </w:r>
          </w:p>
        </w:tc>
        <w:tc>
          <w:tcPr>
            <w:tcW w:w="759" w:type="dxa"/>
            <w:tcBorders>
              <w:top w:val="single" w:sz="4" w:space="0" w:color="auto"/>
              <w:left w:val="single" w:sz="4" w:space="0" w:color="auto"/>
              <w:bottom w:val="single" w:sz="4" w:space="0" w:color="auto"/>
              <w:right w:val="single" w:sz="4" w:space="0" w:color="auto"/>
            </w:tcBorders>
          </w:tcPr>
          <w:p w:rsidR="00B37B9A" w:rsidRDefault="00B37B9A" w:rsidP="00746722">
            <w:pPr>
              <w:spacing w:beforeLines="50" w:afterLines="50"/>
              <w:jc w:val="center"/>
              <w:rPr>
                <w:rFonts w:asciiTheme="minorEastAsia" w:eastAsiaTheme="minorEastAsia" w:hAnsiTheme="minorEastAsia"/>
                <w:b/>
                <w:szCs w:val="21"/>
              </w:rPr>
            </w:pPr>
          </w:p>
        </w:tc>
      </w:tr>
      <w:tr w:rsidR="00B37B9A" w:rsidTr="00B37B9A">
        <w:tc>
          <w:tcPr>
            <w:tcW w:w="673"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636"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珍珠米</w:t>
            </w:r>
          </w:p>
        </w:tc>
        <w:tc>
          <w:tcPr>
            <w:tcW w:w="3366" w:type="dxa"/>
            <w:tcBorders>
              <w:top w:val="single" w:sz="4" w:space="0" w:color="auto"/>
              <w:left w:val="single" w:sz="4" w:space="0" w:color="auto"/>
              <w:bottom w:val="single" w:sz="4" w:space="0" w:color="auto"/>
              <w:right w:val="single" w:sz="4" w:space="0" w:color="auto"/>
            </w:tcBorders>
          </w:tcPr>
          <w:p w:rsidR="00B37B9A" w:rsidRDefault="00B37B9A" w:rsidP="00746722">
            <w:pPr>
              <w:spacing w:beforeLines="50" w:afterLines="50"/>
              <w:jc w:val="center"/>
              <w:rPr>
                <w:rFonts w:asciiTheme="minorEastAsia" w:eastAsiaTheme="minorEastAsia" w:hAnsiTheme="minorEastAsia"/>
                <w:szCs w:val="21"/>
              </w:rPr>
            </w:pPr>
          </w:p>
        </w:tc>
        <w:tc>
          <w:tcPr>
            <w:tcW w:w="881"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斤</w:t>
            </w:r>
          </w:p>
        </w:tc>
        <w:tc>
          <w:tcPr>
            <w:tcW w:w="1207" w:type="dxa"/>
            <w:tcBorders>
              <w:top w:val="single" w:sz="4" w:space="0" w:color="auto"/>
              <w:left w:val="single" w:sz="4" w:space="0" w:color="auto"/>
              <w:bottom w:val="single" w:sz="4" w:space="0" w:color="auto"/>
              <w:right w:val="single" w:sz="4" w:space="0" w:color="auto"/>
            </w:tcBorders>
            <w:hideMark/>
          </w:tcPr>
          <w:p w:rsidR="00B37B9A" w:rsidRDefault="00B37B9A" w:rsidP="00746722">
            <w:pPr>
              <w:spacing w:beforeLines="50" w:afterLines="50"/>
              <w:jc w:val="center"/>
              <w:rPr>
                <w:rFonts w:asciiTheme="minorEastAsia" w:eastAsiaTheme="minorEastAsia" w:hAnsiTheme="minorEastAsia"/>
                <w:szCs w:val="21"/>
              </w:rPr>
            </w:pPr>
            <w:r>
              <w:rPr>
                <w:rFonts w:asciiTheme="minorEastAsia" w:eastAsiaTheme="minorEastAsia" w:hAnsiTheme="minorEastAsia" w:hint="eastAsia"/>
                <w:szCs w:val="21"/>
              </w:rPr>
              <w:t>46000.00</w:t>
            </w:r>
          </w:p>
        </w:tc>
        <w:tc>
          <w:tcPr>
            <w:tcW w:w="759" w:type="dxa"/>
            <w:tcBorders>
              <w:top w:val="single" w:sz="4" w:space="0" w:color="auto"/>
              <w:left w:val="single" w:sz="4" w:space="0" w:color="auto"/>
              <w:bottom w:val="single" w:sz="4" w:space="0" w:color="auto"/>
              <w:right w:val="single" w:sz="4" w:space="0" w:color="auto"/>
            </w:tcBorders>
          </w:tcPr>
          <w:p w:rsidR="00B37B9A" w:rsidRDefault="00B37B9A" w:rsidP="00746722">
            <w:pPr>
              <w:spacing w:beforeLines="50" w:afterLines="50"/>
              <w:jc w:val="center"/>
              <w:rPr>
                <w:rFonts w:asciiTheme="minorEastAsia" w:eastAsiaTheme="minorEastAsia" w:hAnsiTheme="minorEastAsia"/>
                <w:b/>
                <w:szCs w:val="21"/>
              </w:rPr>
            </w:pPr>
          </w:p>
        </w:tc>
      </w:tr>
    </w:tbl>
    <w:p w:rsidR="00B37B9A" w:rsidRDefault="00B37B9A" w:rsidP="00B37B9A">
      <w:pPr>
        <w:pStyle w:val="2"/>
        <w:numPr>
          <w:ilvl w:val="1"/>
          <w:numId w:val="3"/>
        </w:numPr>
        <w:spacing w:line="440" w:lineRule="exact"/>
        <w:rPr>
          <w:rFonts w:cs="宋体" w:hint="eastAsia"/>
          <w:sz w:val="21"/>
          <w:szCs w:val="21"/>
        </w:rPr>
      </w:pPr>
      <w:bookmarkStart w:id="19" w:name="_Toc477248552"/>
      <w:bookmarkEnd w:id="4"/>
      <w:bookmarkEnd w:id="5"/>
      <w:bookmarkEnd w:id="6"/>
      <w:bookmarkEnd w:id="7"/>
      <w:r>
        <w:rPr>
          <w:rFonts w:hint="eastAsia"/>
          <w:b w:val="0"/>
          <w:bCs w:val="0"/>
          <w:sz w:val="21"/>
          <w:szCs w:val="21"/>
        </w:rPr>
        <w:t>★项目履约时间、地点</w:t>
      </w:r>
      <w:bookmarkEnd w:id="19"/>
    </w:p>
    <w:p w:rsidR="00B37B9A" w:rsidRDefault="00B37B9A" w:rsidP="00B37B9A">
      <w:pPr>
        <w:spacing w:line="440" w:lineRule="exact"/>
        <w:ind w:firstLine="405"/>
        <w:rPr>
          <w:rFonts w:hint="eastAsia"/>
        </w:rPr>
      </w:pPr>
      <w:r>
        <w:rPr>
          <w:rFonts w:ascii="宋体" w:hint="eastAsia"/>
          <w:szCs w:val="21"/>
        </w:rPr>
        <w:t>合同签订至新一轮供应商确定，送至采购人指定地点。</w:t>
      </w:r>
    </w:p>
    <w:p w:rsidR="00B37B9A" w:rsidRDefault="00B37B9A" w:rsidP="00B37B9A">
      <w:pPr>
        <w:pStyle w:val="2"/>
        <w:numPr>
          <w:ilvl w:val="1"/>
          <w:numId w:val="3"/>
        </w:numPr>
        <w:spacing w:line="440" w:lineRule="exact"/>
        <w:rPr>
          <w:sz w:val="21"/>
          <w:szCs w:val="21"/>
        </w:rPr>
      </w:pPr>
      <w:bookmarkStart w:id="20" w:name="_Toc477248553"/>
      <w:bookmarkStart w:id="21" w:name="_Toc417566437"/>
      <w:r>
        <w:rPr>
          <w:rFonts w:hint="eastAsia"/>
          <w:b w:val="0"/>
          <w:bCs w:val="0"/>
          <w:sz w:val="21"/>
          <w:szCs w:val="21"/>
        </w:rPr>
        <w:t>★付款方式</w:t>
      </w:r>
      <w:bookmarkEnd w:id="20"/>
      <w:bookmarkEnd w:id="21"/>
    </w:p>
    <w:p w:rsidR="00B37B9A" w:rsidRDefault="00B37B9A" w:rsidP="00B37B9A">
      <w:pPr>
        <w:spacing w:line="520" w:lineRule="exact"/>
        <w:ind w:firstLineChars="200" w:firstLine="420"/>
        <w:rPr>
          <w:rFonts w:ascii="宋体" w:hAnsi="宋体" w:hint="eastAsia"/>
          <w:szCs w:val="21"/>
        </w:rPr>
      </w:pPr>
      <w:bookmarkStart w:id="22" w:name="_Toc417566438"/>
      <w:r>
        <w:rPr>
          <w:rFonts w:ascii="宋体" w:hAnsi="宋体" w:hint="eastAsia"/>
          <w:szCs w:val="21"/>
        </w:rPr>
        <w:t>（一）甲方以转账方式向乙方付款。</w:t>
      </w:r>
    </w:p>
    <w:p w:rsidR="00B37B9A" w:rsidRDefault="00B37B9A" w:rsidP="00B37B9A">
      <w:pPr>
        <w:spacing w:line="520" w:lineRule="exact"/>
        <w:ind w:firstLine="420"/>
        <w:rPr>
          <w:rFonts w:ascii="宋体" w:hAnsi="宋体" w:hint="eastAsia"/>
          <w:szCs w:val="21"/>
        </w:rPr>
      </w:pPr>
      <w:r>
        <w:rPr>
          <w:rFonts w:ascii="宋体" w:hAnsi="宋体" w:hint="eastAsia"/>
          <w:szCs w:val="21"/>
        </w:rPr>
        <w:t>（二）乙方应出具正规发票，且加盖乙方发票专用章。付款</w:t>
      </w:r>
      <w:proofErr w:type="gramStart"/>
      <w:r>
        <w:rPr>
          <w:rFonts w:ascii="宋体" w:hAnsi="宋体" w:hint="eastAsia"/>
          <w:szCs w:val="21"/>
        </w:rPr>
        <w:t>转帐</w:t>
      </w:r>
      <w:proofErr w:type="gramEnd"/>
      <w:r>
        <w:rPr>
          <w:rFonts w:ascii="宋体" w:hAnsi="宋体" w:hint="eastAsia"/>
          <w:szCs w:val="21"/>
        </w:rPr>
        <w:t>时收款单位须与乙方相一致。如货款需汇往异地，电汇等费用由乙方承担。</w:t>
      </w:r>
    </w:p>
    <w:p w:rsidR="00B37B9A" w:rsidRDefault="00B37B9A" w:rsidP="00B37B9A">
      <w:pPr>
        <w:spacing w:line="520" w:lineRule="exact"/>
        <w:ind w:firstLine="420"/>
        <w:rPr>
          <w:rFonts w:ascii="宋体" w:hAnsi="宋体" w:hint="eastAsia"/>
          <w:szCs w:val="21"/>
        </w:rPr>
      </w:pPr>
      <w:r>
        <w:rPr>
          <w:rFonts w:ascii="宋体" w:hAnsi="宋体" w:hint="eastAsia"/>
          <w:szCs w:val="21"/>
        </w:rPr>
        <w:t>（三）结算周期为每月10日、25日结账两次（寒暑假或其它特殊情况</w:t>
      </w:r>
      <w:proofErr w:type="gramStart"/>
      <w:r>
        <w:rPr>
          <w:rFonts w:ascii="宋体" w:hAnsi="宋体" w:hint="eastAsia"/>
          <w:szCs w:val="21"/>
        </w:rPr>
        <w:t>结帐</w:t>
      </w:r>
      <w:proofErr w:type="gramEnd"/>
      <w:r>
        <w:rPr>
          <w:rFonts w:ascii="宋体" w:hAnsi="宋体" w:hint="eastAsia"/>
          <w:szCs w:val="21"/>
        </w:rPr>
        <w:t>时间调整另行通知）。</w:t>
      </w:r>
    </w:p>
    <w:p w:rsidR="00B37B9A" w:rsidRDefault="00B37B9A" w:rsidP="00B37B9A">
      <w:pPr>
        <w:spacing w:line="440" w:lineRule="exact"/>
        <w:ind w:firstLineChars="200" w:firstLine="420"/>
        <w:rPr>
          <w:rFonts w:hint="eastAsia"/>
          <w:szCs w:val="21"/>
        </w:rPr>
      </w:pPr>
      <w:r>
        <w:rPr>
          <w:rFonts w:ascii="宋体" w:hAnsi="宋体"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p w:rsidR="00B37B9A" w:rsidRDefault="00B37B9A" w:rsidP="00B37B9A">
      <w:pPr>
        <w:pStyle w:val="2"/>
        <w:numPr>
          <w:ilvl w:val="1"/>
          <w:numId w:val="3"/>
        </w:numPr>
        <w:spacing w:line="440" w:lineRule="exact"/>
        <w:rPr>
          <w:sz w:val="21"/>
          <w:szCs w:val="21"/>
        </w:rPr>
      </w:pPr>
      <w:bookmarkStart w:id="23" w:name="_Toc477248554"/>
      <w:bookmarkEnd w:id="22"/>
      <w:r>
        <w:rPr>
          <w:rFonts w:hint="eastAsia"/>
          <w:b w:val="0"/>
          <w:bCs w:val="0"/>
          <w:sz w:val="21"/>
          <w:szCs w:val="21"/>
        </w:rPr>
        <w:t>服务要求</w:t>
      </w:r>
      <w:bookmarkEnd w:id="23"/>
    </w:p>
    <w:p w:rsidR="00B37B9A" w:rsidRDefault="00B37B9A" w:rsidP="00B37B9A">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B37B9A" w:rsidTr="00B37B9A">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B37B9A" w:rsidRDefault="00B37B9A">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B37B9A" w:rsidTr="00B37B9A">
        <w:tc>
          <w:tcPr>
            <w:tcW w:w="674" w:type="dxa"/>
            <w:tcBorders>
              <w:top w:val="single" w:sz="4" w:space="0" w:color="auto"/>
              <w:left w:val="single" w:sz="4" w:space="0" w:color="auto"/>
              <w:bottom w:val="single" w:sz="4" w:space="0" w:color="auto"/>
              <w:right w:val="single" w:sz="4" w:space="0" w:color="auto"/>
            </w:tcBorders>
            <w:vAlign w:val="center"/>
            <w:hideMark/>
          </w:tcPr>
          <w:p w:rsidR="00B37B9A" w:rsidRDefault="00B37B9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B37B9A" w:rsidRDefault="00B37B9A">
            <w:pPr>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B37B9A" w:rsidRDefault="00B37B9A">
            <w:pPr>
              <w:widowControl/>
              <w:autoSpaceDE w:val="0"/>
              <w:spacing w:line="320" w:lineRule="exact"/>
              <w:ind w:firstLine="28"/>
              <w:rPr>
                <w:rFonts w:asciiTheme="minorEastAsia" w:eastAsiaTheme="minorEastAsia" w:hAnsiTheme="minorEastAsia" w:cs="宋体"/>
                <w:szCs w:val="21"/>
              </w:rPr>
            </w:pPr>
            <w:r>
              <w:rPr>
                <w:rFonts w:asciiTheme="minorEastAsia" w:eastAsiaTheme="minorEastAsia" w:hAnsiTheme="minorEastAsia" w:cs="黑体" w:hint="eastAsia"/>
                <w:szCs w:val="21"/>
              </w:rPr>
              <w:t>本次招标货物，</w:t>
            </w:r>
            <w:r>
              <w:rPr>
                <w:rFonts w:asciiTheme="minorEastAsia" w:eastAsiaTheme="minorEastAsia" w:hAnsiTheme="minorEastAsia" w:cs="宋体" w:hint="eastAsia"/>
                <w:szCs w:val="21"/>
              </w:rPr>
              <w:t>承诺</w:t>
            </w:r>
            <w:r>
              <w:rPr>
                <w:rFonts w:asciiTheme="minorEastAsia" w:eastAsiaTheme="minorEastAsia" w:hAnsiTheme="minorEastAsia" w:cs="宋体" w:hint="eastAsia"/>
                <w:bCs/>
                <w:szCs w:val="21"/>
              </w:rPr>
              <w:t>在中标后，签订合同之前购买食品安全责任险，</w:t>
            </w:r>
            <w:r>
              <w:rPr>
                <w:rFonts w:asciiTheme="minorEastAsia" w:eastAsiaTheme="minorEastAsia" w:hAnsiTheme="minorEastAsia" w:cs="黑体" w:hint="eastAsia"/>
                <w:szCs w:val="21"/>
              </w:rPr>
              <w:t>售后服务承诺函；</w:t>
            </w:r>
          </w:p>
        </w:tc>
      </w:tr>
      <w:tr w:rsidR="00B37B9A" w:rsidTr="00B37B9A">
        <w:tc>
          <w:tcPr>
            <w:tcW w:w="674" w:type="dxa"/>
            <w:tcBorders>
              <w:top w:val="single" w:sz="4" w:space="0" w:color="auto"/>
              <w:left w:val="single" w:sz="4" w:space="0" w:color="auto"/>
              <w:bottom w:val="single" w:sz="4" w:space="0" w:color="auto"/>
              <w:right w:val="single" w:sz="4" w:space="0" w:color="auto"/>
            </w:tcBorders>
            <w:vAlign w:val="center"/>
            <w:hideMark/>
          </w:tcPr>
          <w:p w:rsidR="00B37B9A" w:rsidRDefault="00B37B9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B37B9A" w:rsidRDefault="00B37B9A">
            <w:pPr>
              <w:jc w:val="center"/>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B37B9A" w:rsidRDefault="00B37B9A">
            <w:pPr>
              <w:rPr>
                <w:rFonts w:asciiTheme="minorEastAsia" w:eastAsiaTheme="minorEastAsia" w:hAnsiTheme="minorEastAsia"/>
                <w:szCs w:val="21"/>
              </w:rPr>
            </w:pPr>
            <w:r>
              <w:rPr>
                <w:rFonts w:asciiTheme="minorEastAsia" w:eastAsiaTheme="minorEastAsia" w:hAnsiTheme="minorEastAsia" w:hint="eastAsia"/>
                <w:szCs w:val="21"/>
              </w:rPr>
              <w:t>保质、保量为西南交通大学饮食服务中心供应所需货物，做到三证（营业执照、组织机构代码证、税务登记证）、生产（经营）许可证以及产品质量检验报告齐全，符合国家食品卫生要求。若供应的货物出现质量问题，引发食物中毒等事件发生，由供货方承担全部经济责任和法律责任。</w:t>
            </w:r>
          </w:p>
          <w:p w:rsidR="00B37B9A" w:rsidRDefault="00B37B9A">
            <w:pPr>
              <w:rPr>
                <w:rFonts w:asciiTheme="minorEastAsia" w:eastAsiaTheme="minorEastAsia" w:hAnsiTheme="minorEastAsia" w:hint="eastAsia"/>
                <w:szCs w:val="21"/>
              </w:rPr>
            </w:pPr>
            <w:r>
              <w:rPr>
                <w:rFonts w:asciiTheme="minorEastAsia" w:eastAsiaTheme="minorEastAsia" w:hAnsiTheme="minorEastAsia" w:hint="eastAsia"/>
                <w:szCs w:val="21"/>
              </w:rPr>
              <w:t>因供货方原因，未按时将货物送达指定地点，影响餐厅按时供餐，给餐厅造成不便和损失，其损失概由供货方承担。</w:t>
            </w:r>
          </w:p>
          <w:p w:rsidR="00B37B9A" w:rsidRDefault="00B37B9A">
            <w:pPr>
              <w:pStyle w:val="ac"/>
              <w:rPr>
                <w:rFonts w:asciiTheme="minorEastAsia" w:eastAsiaTheme="minorEastAsia" w:hAnsiTheme="minorEastAsia"/>
                <w:kern w:val="0"/>
                <w:sz w:val="21"/>
                <w:szCs w:val="21"/>
              </w:rPr>
            </w:pPr>
            <w:r>
              <w:rPr>
                <w:rFonts w:asciiTheme="minorEastAsia" w:eastAsiaTheme="minorEastAsia" w:hAnsiTheme="minorEastAsia" w:cs="宋体" w:hint="eastAsia"/>
                <w:sz w:val="21"/>
                <w:szCs w:val="21"/>
                <w:lang w:val="zh-CN"/>
              </w:rPr>
              <w:t>按采购人提出的数量和时间配送物资，如因供货方未按时按量配送，采购人为了保证生产所需在外采购的同等级物资差价由供货方支付。</w:t>
            </w:r>
          </w:p>
        </w:tc>
      </w:tr>
      <w:tr w:rsidR="00B37B9A" w:rsidTr="00B37B9A">
        <w:tc>
          <w:tcPr>
            <w:tcW w:w="674" w:type="dxa"/>
            <w:tcBorders>
              <w:top w:val="single" w:sz="4" w:space="0" w:color="auto"/>
              <w:left w:val="single" w:sz="4" w:space="0" w:color="auto"/>
              <w:bottom w:val="single" w:sz="4" w:space="0" w:color="auto"/>
              <w:right w:val="single" w:sz="4" w:space="0" w:color="auto"/>
            </w:tcBorders>
            <w:vAlign w:val="center"/>
            <w:hideMark/>
          </w:tcPr>
          <w:p w:rsidR="00B37B9A" w:rsidRDefault="00B37B9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B37B9A" w:rsidRDefault="00B37B9A">
            <w:pPr>
              <w:jc w:val="center"/>
              <w:rPr>
                <w:rFonts w:asciiTheme="minorEastAsia" w:eastAsiaTheme="minorEastAsia" w:hAnsiTheme="minorEastAsia"/>
                <w:szCs w:val="21"/>
              </w:rPr>
            </w:pPr>
            <w:r>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hideMark/>
          </w:tcPr>
          <w:p w:rsidR="00B37B9A" w:rsidRDefault="00B37B9A">
            <w:pPr>
              <w:rPr>
                <w:rFonts w:asciiTheme="minorEastAsia" w:eastAsiaTheme="minorEastAsia" w:hAnsiTheme="minorEastAsia"/>
                <w:szCs w:val="21"/>
              </w:rPr>
            </w:pPr>
            <w:r>
              <w:rPr>
                <w:rFonts w:asciiTheme="minorEastAsia" w:eastAsiaTheme="minorEastAsia" w:hAnsiTheme="minorEastAsia" w:hint="eastAsia"/>
                <w:szCs w:val="21"/>
              </w:rPr>
              <w:t>本</w:t>
            </w:r>
            <w:proofErr w:type="gramStart"/>
            <w:r>
              <w:rPr>
                <w:rFonts w:asciiTheme="minorEastAsia" w:eastAsiaTheme="minorEastAsia" w:hAnsiTheme="minorEastAsia" w:hint="eastAsia"/>
                <w:szCs w:val="21"/>
              </w:rPr>
              <w:t>项目项目</w:t>
            </w:r>
            <w:proofErr w:type="gramEnd"/>
            <w:r>
              <w:rPr>
                <w:rFonts w:asciiTheme="minorEastAsia" w:eastAsiaTheme="minorEastAsia" w:hAnsiTheme="minorEastAsia" w:hint="eastAsia"/>
                <w:szCs w:val="21"/>
              </w:rPr>
              <w:t>经理1名；</w:t>
            </w:r>
          </w:p>
          <w:p w:rsidR="00B37B9A" w:rsidRDefault="00B37B9A">
            <w:pPr>
              <w:rPr>
                <w:rFonts w:asciiTheme="minorEastAsia" w:eastAsiaTheme="minorEastAsia" w:hAnsiTheme="minorEastAsia"/>
                <w:szCs w:val="21"/>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投标文件中须提供证书复印件加盖投标人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，并同时提供上述人员在投标人单位的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B37B9A" w:rsidTr="00B37B9A">
        <w:tc>
          <w:tcPr>
            <w:tcW w:w="674" w:type="dxa"/>
            <w:tcBorders>
              <w:top w:val="single" w:sz="4" w:space="0" w:color="auto"/>
              <w:left w:val="single" w:sz="4" w:space="0" w:color="auto"/>
              <w:bottom w:val="single" w:sz="4" w:space="0" w:color="auto"/>
              <w:right w:val="single" w:sz="4" w:space="0" w:color="auto"/>
            </w:tcBorders>
            <w:vAlign w:val="center"/>
            <w:hideMark/>
          </w:tcPr>
          <w:p w:rsidR="00B37B9A" w:rsidRDefault="00B37B9A">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B37B9A" w:rsidRDefault="00B37B9A">
            <w:pPr>
              <w:jc w:val="center"/>
              <w:rPr>
                <w:rFonts w:asciiTheme="minorEastAsia" w:eastAsiaTheme="minorEastAsia" w:hAnsiTheme="minorEastAsia"/>
                <w:szCs w:val="21"/>
              </w:rPr>
            </w:pPr>
            <w:r>
              <w:rPr>
                <w:rFonts w:asciiTheme="minorEastAsia" w:eastAsiaTheme="minorEastAsia" w:hAnsiTheme="minorEastAsia"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hideMark/>
          </w:tcPr>
          <w:p w:rsidR="00B37B9A" w:rsidRDefault="00B37B9A">
            <w:pPr>
              <w:rPr>
                <w:rFonts w:asciiTheme="minorEastAsia" w:eastAsiaTheme="minorEastAsia" w:hAnsiTheme="minorEastAsia"/>
                <w:szCs w:val="21"/>
              </w:rPr>
            </w:pPr>
            <w:r>
              <w:rPr>
                <w:rFonts w:asciiTheme="minorEastAsia" w:eastAsiaTheme="minorEastAsia" w:hAnsiTheme="minorEastAsia" w:hint="eastAsia"/>
                <w:szCs w:val="21"/>
              </w:rPr>
              <w:t>投标人或投标产品厂商能够提供7×24小时服务热线电话。提供证明材料（加盖投标人公章）。</w:t>
            </w:r>
          </w:p>
        </w:tc>
      </w:tr>
    </w:tbl>
    <w:p w:rsidR="00B37B9A" w:rsidRDefault="00B37B9A" w:rsidP="00B37B9A">
      <w:pPr>
        <w:pStyle w:val="2"/>
        <w:numPr>
          <w:ilvl w:val="1"/>
          <w:numId w:val="3"/>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B37B9A" w:rsidRDefault="00B37B9A" w:rsidP="00B37B9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B37B9A" w:rsidRDefault="00B37B9A" w:rsidP="00B37B9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B37B9A" w:rsidRDefault="00B37B9A" w:rsidP="00B37B9A">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37B9A" w:rsidRDefault="00B37B9A" w:rsidP="00B37B9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B37B9A" w:rsidRDefault="00B37B9A" w:rsidP="00B37B9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B37B9A" w:rsidRDefault="00B37B9A" w:rsidP="00B37B9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B37B9A" w:rsidRDefault="00B37B9A" w:rsidP="00B37B9A">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B37B9A" w:rsidRDefault="00B37B9A" w:rsidP="00B37B9A">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B37B9A" w:rsidRDefault="00B37B9A" w:rsidP="00B37B9A">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B37B9A" w:rsidRDefault="00B37B9A" w:rsidP="00B37B9A">
      <w:pPr>
        <w:pStyle w:val="2"/>
        <w:numPr>
          <w:ilvl w:val="1"/>
          <w:numId w:val="3"/>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B37B9A" w:rsidRDefault="00B37B9A" w:rsidP="00B37B9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37B9A" w:rsidRDefault="00B37B9A" w:rsidP="00B37B9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lastRenderedPageBreak/>
        <w:t>采购人享有本项目实施过程中产生的知识成果及知识产权。</w:t>
      </w:r>
    </w:p>
    <w:p w:rsidR="00B37B9A" w:rsidRDefault="00B37B9A" w:rsidP="00B37B9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B37B9A" w:rsidRDefault="00B37B9A" w:rsidP="00B37B9A">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B37B9A" w:rsidRDefault="00B37B9A" w:rsidP="00B37B9A">
      <w:pPr>
        <w:widowControl/>
        <w:jc w:val="left"/>
        <w:rPr>
          <w:rFonts w:ascii="宋体" w:hAnsi="宋体" w:hint="eastAsia"/>
          <w:szCs w:val="21"/>
        </w:rPr>
      </w:pPr>
      <w:r>
        <w:rPr>
          <w:rFonts w:ascii="宋体" w:hAnsi="宋体" w:hint="eastAsia"/>
          <w:szCs w:val="21"/>
        </w:rPr>
        <w:br w:type="page"/>
      </w:r>
    </w:p>
    <w:p w:rsidR="00586DCE" w:rsidRPr="00B37B9A" w:rsidRDefault="00586DCE" w:rsidP="00B37B9A">
      <w:pPr>
        <w:rPr>
          <w:szCs w:val="24"/>
        </w:rPr>
      </w:pPr>
    </w:p>
    <w:sectPr w:rsidR="00586DCE" w:rsidRPr="00B37B9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BA" w:rsidRDefault="00227DBA" w:rsidP="006718F6">
      <w:r>
        <w:separator/>
      </w:r>
    </w:p>
  </w:endnote>
  <w:endnote w:type="continuationSeparator" w:id="0">
    <w:p w:rsidR="00227DBA" w:rsidRDefault="00227DB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E433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37B9A" w:rsidRPr="00B37B9A">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BA" w:rsidRDefault="00227DBA" w:rsidP="006718F6">
      <w:r>
        <w:separator/>
      </w:r>
    </w:p>
  </w:footnote>
  <w:footnote w:type="continuationSeparator" w:id="0">
    <w:p w:rsidR="00227DBA" w:rsidRDefault="00227DB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
  </w:num>
  <w:num w:numId="12">
    <w:abstractNumId w:val="8"/>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9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16475"/>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337"/>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54ED2"/>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16</cp:revision>
  <cp:lastPrinted>2017-05-09T09:20:00Z</cp:lastPrinted>
  <dcterms:created xsi:type="dcterms:W3CDTF">2017-06-08T09:05:00Z</dcterms:created>
  <dcterms:modified xsi:type="dcterms:W3CDTF">2017-06-15T07:20:00Z</dcterms:modified>
</cp:coreProperties>
</file>