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12" w:rsidRDefault="00274512" w:rsidP="00274512">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4762"/>
        <w:gridCol w:w="836"/>
        <w:gridCol w:w="776"/>
      </w:tblGrid>
      <w:tr w:rsidR="00274512" w:rsidTr="00274512">
        <w:trPr>
          <w:trHeight w:val="521"/>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76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spacing w:line="440" w:lineRule="exact"/>
              <w:ind w:leftChars="-55" w:left="307" w:hanging="422"/>
              <w:jc w:val="center"/>
              <w:rPr>
                <w:rFonts w:eastAsia="楷体"/>
                <w:b/>
                <w:bCs/>
                <w:szCs w:val="21"/>
              </w:rPr>
            </w:pPr>
            <w:r>
              <w:rPr>
                <w:rFonts w:eastAsia="楷体" w:hint="eastAsia"/>
                <w:b/>
                <w:bCs/>
                <w:szCs w:val="21"/>
              </w:rPr>
              <w:t>数量</w:t>
            </w:r>
          </w:p>
        </w:tc>
      </w:tr>
      <w:tr w:rsidR="00274512" w:rsidTr="00274512">
        <w:trPr>
          <w:trHeight w:val="496"/>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jc w:val="center"/>
              <w:rPr>
                <w:szCs w:val="21"/>
              </w:rPr>
            </w:pPr>
            <w:r>
              <w:rPr>
                <w:szCs w:val="21"/>
              </w:rPr>
              <w:t>1</w:t>
            </w:r>
          </w:p>
        </w:tc>
        <w:tc>
          <w:tcPr>
            <w:tcW w:w="476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jc w:val="center"/>
              <w:rPr>
                <w:szCs w:val="21"/>
              </w:rPr>
            </w:pPr>
            <w:r>
              <w:rPr>
                <w:rFonts w:hint="eastAsia"/>
                <w:szCs w:val="21"/>
              </w:rPr>
              <w:t>长编组、大轴重重载列车纵向动力学仿真分析平台</w:t>
            </w:r>
          </w:p>
        </w:tc>
        <w:tc>
          <w:tcPr>
            <w:tcW w:w="83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jc w:val="center"/>
              <w:rPr>
                <w:szCs w:val="21"/>
              </w:rPr>
            </w:pPr>
            <w:r>
              <w:rPr>
                <w:szCs w:val="21"/>
              </w:rPr>
              <w:t>1</w:t>
            </w:r>
          </w:p>
        </w:tc>
      </w:tr>
    </w:tbl>
    <w:p w:rsidR="00274512" w:rsidRDefault="00274512" w:rsidP="00274512">
      <w:pPr>
        <w:spacing w:beforeLines="50" w:afterLines="50" w:line="360" w:lineRule="auto"/>
        <w:rPr>
          <w:b/>
        </w:rPr>
      </w:pPr>
      <w:r>
        <w:rPr>
          <w:b/>
        </w:rPr>
        <w:t>2</w:t>
      </w:r>
      <w:r>
        <w:rPr>
          <w:rFonts w:hint="eastAsia"/>
          <w:b/>
        </w:rPr>
        <w:t>、技术标准和要求</w:t>
      </w:r>
      <w:bookmarkEnd w:id="5"/>
      <w:bookmarkEnd w:id="6"/>
      <w:bookmarkEnd w:id="7"/>
      <w:bookmarkEnd w:id="8"/>
      <w:bookmarkEnd w:id="9"/>
    </w:p>
    <w:p w:rsidR="00274512" w:rsidRDefault="00274512" w:rsidP="00274512">
      <w:pPr>
        <w:spacing w:line="440" w:lineRule="exact"/>
        <w:ind w:firstLineChars="200" w:firstLine="422"/>
        <w:rPr>
          <w:b/>
          <w:szCs w:val="21"/>
        </w:rPr>
      </w:pPr>
      <w:r>
        <w:rPr>
          <w:b/>
          <w:szCs w:val="21"/>
        </w:rPr>
        <w:t xml:space="preserve">2.1 </w:t>
      </w:r>
      <w:r>
        <w:rPr>
          <w:rFonts w:hint="eastAsia"/>
          <w:b/>
          <w:szCs w:val="21"/>
        </w:rPr>
        <w:t>系统结构及配置</w:t>
      </w:r>
    </w:p>
    <w:p w:rsidR="00274512" w:rsidRDefault="00274512" w:rsidP="00274512">
      <w:pPr>
        <w:spacing w:line="300" w:lineRule="auto"/>
        <w:ind w:firstLine="420"/>
        <w:rPr>
          <w:szCs w:val="21"/>
        </w:rPr>
      </w:pPr>
      <w:r>
        <w:rPr>
          <w:rFonts w:hint="eastAsia"/>
          <w:szCs w:val="21"/>
        </w:rPr>
        <w:t>长编组、大轴重重载列车纵向动力学仿真分析平台主要包含以下模块：输入模块、钩缓系统模块、机车模块、货车模块、线路平纵断面模块、求解模块和后处理模块。如下图：</w:t>
      </w:r>
    </w:p>
    <w:p w:rsidR="00274512" w:rsidRDefault="00274512" w:rsidP="00274512">
      <w:pPr>
        <w:spacing w:beforeLines="50"/>
        <w:jc w:val="center"/>
        <w:rPr>
          <w:sz w:val="28"/>
          <w:szCs w:val="28"/>
        </w:rPr>
      </w:pPr>
      <w:r>
        <w:rPr>
          <w:noProof/>
        </w:rPr>
        <w:drawing>
          <wp:inline distT="0" distB="0" distL="0" distR="0">
            <wp:extent cx="5752465" cy="2339340"/>
            <wp:effectExtent l="19050" t="0" r="63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srcRect/>
                    <a:stretch>
                      <a:fillRect/>
                    </a:stretch>
                  </pic:blipFill>
                  <pic:spPr bwMode="auto">
                    <a:xfrm>
                      <a:off x="0" y="0"/>
                      <a:ext cx="5752465" cy="2339340"/>
                    </a:xfrm>
                    <a:prstGeom prst="rect">
                      <a:avLst/>
                    </a:prstGeom>
                    <a:noFill/>
                    <a:ln w="9525">
                      <a:noFill/>
                      <a:miter lim="800000"/>
                      <a:headEnd/>
                      <a:tailEnd/>
                    </a:ln>
                  </pic:spPr>
                </pic:pic>
              </a:graphicData>
            </a:graphic>
          </wp:inline>
        </w:drawing>
      </w:r>
    </w:p>
    <w:p w:rsidR="00274512" w:rsidRDefault="00274512" w:rsidP="00274512">
      <w:pPr>
        <w:spacing w:line="440" w:lineRule="exact"/>
        <w:ind w:firstLineChars="200" w:firstLine="420"/>
        <w:rPr>
          <w:szCs w:val="21"/>
        </w:rPr>
      </w:pPr>
      <w:r>
        <w:rPr>
          <w:rFonts w:hint="eastAsia"/>
          <w:szCs w:val="21"/>
        </w:rPr>
        <w:t>该仿真分析平台可以独立运行，能够创建完整的长大编组、大轴重的列车纵向动力学模型，可以对仿真结果进行友好的可视化显示。</w:t>
      </w:r>
    </w:p>
    <w:p w:rsidR="00274512" w:rsidRDefault="00274512" w:rsidP="00274512">
      <w:pPr>
        <w:spacing w:line="440" w:lineRule="exact"/>
        <w:ind w:firstLineChars="200" w:firstLine="420"/>
        <w:rPr>
          <w:szCs w:val="21"/>
        </w:rPr>
      </w:pPr>
      <w:r>
        <w:rPr>
          <w:rFonts w:hint="eastAsia"/>
          <w:szCs w:val="21"/>
        </w:rPr>
        <w:t>该仿真分析平台部分模块的算法和核心程序由用户单位提供，并协助成交报价人完成整个平台的开发和调试工作。</w:t>
      </w:r>
    </w:p>
    <w:p w:rsidR="00274512" w:rsidRDefault="00274512" w:rsidP="00274512">
      <w:pPr>
        <w:spacing w:line="440" w:lineRule="exact"/>
        <w:ind w:firstLineChars="200" w:firstLine="420"/>
        <w:rPr>
          <w:szCs w:val="21"/>
        </w:rPr>
      </w:pPr>
      <w:r>
        <w:rPr>
          <w:rFonts w:hint="eastAsia"/>
          <w:szCs w:val="21"/>
        </w:rPr>
        <w:t>最终成交报价人需向采购人提供完整的长编组、大轴重重载列车纵向动力学仿真分析平台的安装程序软件</w:t>
      </w:r>
      <w:r>
        <w:rPr>
          <w:szCs w:val="21"/>
        </w:rPr>
        <w:t>1</w:t>
      </w:r>
      <w:r>
        <w:rPr>
          <w:rFonts w:hint="eastAsia"/>
          <w:szCs w:val="21"/>
        </w:rPr>
        <w:t>套，并提供该分析平台的产品说明书、用户手册和培训资料各</w:t>
      </w:r>
      <w:r>
        <w:rPr>
          <w:szCs w:val="21"/>
        </w:rPr>
        <w:t>50</w:t>
      </w:r>
      <w:r>
        <w:rPr>
          <w:rFonts w:hint="eastAsia"/>
          <w:szCs w:val="21"/>
        </w:rPr>
        <w:t>套。</w:t>
      </w:r>
    </w:p>
    <w:p w:rsidR="00274512" w:rsidRDefault="00274512" w:rsidP="00274512">
      <w:pPr>
        <w:spacing w:line="440" w:lineRule="exact"/>
        <w:ind w:firstLineChars="200" w:firstLine="422"/>
        <w:rPr>
          <w:b/>
          <w:szCs w:val="21"/>
        </w:rPr>
      </w:pPr>
      <w:r>
        <w:rPr>
          <w:b/>
          <w:szCs w:val="21"/>
        </w:rPr>
        <w:t xml:space="preserve">2.2 </w:t>
      </w:r>
      <w:r>
        <w:rPr>
          <w:rFonts w:hint="eastAsia"/>
          <w:b/>
          <w:szCs w:val="21"/>
        </w:rPr>
        <w:t>系统各部分详细技术参数</w:t>
      </w:r>
    </w:p>
    <w:p w:rsidR="00274512" w:rsidRDefault="00274512" w:rsidP="00274512">
      <w:pPr>
        <w:spacing w:line="440" w:lineRule="exact"/>
        <w:ind w:firstLineChars="200" w:firstLine="420"/>
        <w:rPr>
          <w:szCs w:val="21"/>
        </w:rPr>
      </w:pPr>
      <w:r>
        <w:rPr>
          <w:rFonts w:hint="eastAsia"/>
          <w:szCs w:val="21"/>
        </w:rPr>
        <w:t>本仿真分析平台各功能模块、技术指标及规格如下表所示</w:t>
      </w:r>
    </w:p>
    <w:tbl>
      <w:tblPr>
        <w:tblW w:w="84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275"/>
        <w:gridCol w:w="5019"/>
        <w:gridCol w:w="709"/>
        <w:gridCol w:w="733"/>
      </w:tblGrid>
      <w:tr w:rsidR="00274512" w:rsidTr="00274512">
        <w:trPr>
          <w:trHeight w:val="46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b/>
                <w:kern w:val="0"/>
                <w:szCs w:val="21"/>
              </w:rPr>
            </w:pPr>
            <w:r>
              <w:rPr>
                <w:rFonts w:ascii="宋体" w:hAnsi="宋体" w:cs="宋体" w:hint="eastAsia"/>
                <w:b/>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b/>
                <w:kern w:val="0"/>
                <w:szCs w:val="21"/>
              </w:rPr>
            </w:pPr>
            <w:r>
              <w:rPr>
                <w:rFonts w:ascii="宋体" w:hAnsi="宋体" w:cs="宋体" w:hint="eastAsia"/>
                <w:b/>
                <w:kern w:val="0"/>
                <w:szCs w:val="21"/>
              </w:rPr>
              <w:t>功能模块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b/>
                <w:kern w:val="0"/>
                <w:szCs w:val="21"/>
              </w:rPr>
            </w:pPr>
            <w:r>
              <w:rPr>
                <w:rFonts w:hint="eastAsia"/>
                <w:b/>
                <w:kern w:val="0"/>
                <w:szCs w:val="21"/>
              </w:rPr>
              <w:t>技术指标及规格</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b/>
                <w:kern w:val="0"/>
                <w:szCs w:val="21"/>
              </w:rPr>
            </w:pPr>
            <w:r>
              <w:rPr>
                <w:rFonts w:ascii="宋体" w:hAnsi="宋体" w:cs="宋体" w:hint="eastAsia"/>
                <w:b/>
                <w:kern w:val="0"/>
                <w:szCs w:val="21"/>
              </w:rPr>
              <w:t>单位</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b/>
                <w:kern w:val="0"/>
                <w:szCs w:val="21"/>
              </w:rPr>
            </w:pPr>
            <w:r>
              <w:rPr>
                <w:rFonts w:ascii="宋体" w:hAnsi="宋体" w:cs="宋体" w:hint="eastAsia"/>
                <w:b/>
                <w:kern w:val="0"/>
                <w:szCs w:val="21"/>
              </w:rPr>
              <w:t>数量</w:t>
            </w:r>
          </w:p>
        </w:tc>
      </w:tr>
      <w:tr w:rsidR="00274512" w:rsidTr="00274512">
        <w:trPr>
          <w:trHeight w:val="274"/>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前处理模块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（1）可视化的用户操作界面</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（2）可输入列车运行控制参数、列车编组参数、机车车辆参数、钩缓系统参数、线路参数等；</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（3）</w:t>
            </w:r>
            <w:r>
              <w:rPr>
                <w:rFonts w:hint="eastAsia"/>
                <w:kern w:val="0"/>
                <w:szCs w:val="21"/>
              </w:rPr>
              <w:t>支持通过界面控制列车的操纵状态，能够进行列车起动牵引、惰性运行、动力制动、空气制动、制动缓解的工况转换；</w:t>
            </w:r>
          </w:p>
          <w:p w:rsidR="00274512" w:rsidRDefault="00274512">
            <w:pPr>
              <w:widowControl/>
              <w:snapToGrid w:val="0"/>
              <w:rPr>
                <w:rFonts w:ascii="宋体" w:hAnsi="宋体" w:cs="宋体"/>
                <w:kern w:val="0"/>
                <w:szCs w:val="21"/>
              </w:rPr>
            </w:pPr>
            <w:r>
              <w:rPr>
                <w:rFonts w:ascii="宋体" w:hAnsi="宋体" w:cs="宋体" w:hint="eastAsia"/>
                <w:kern w:val="0"/>
                <w:szCs w:val="21"/>
              </w:rPr>
              <w:t>（4）同时支持文件输入方式和界面数据输入，文件格式为txt、dat等常规文本文件；</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r w:rsidR="00274512" w:rsidTr="00274512">
        <w:trPr>
          <w:trHeight w:val="12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钩缓系统模块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（1）支持重载机车车钩、缓冲器建模；</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（2）支持重载货车钩缓装置建模，支持牵引杆模型的创建；</w:t>
            </w:r>
          </w:p>
          <w:p w:rsidR="00274512" w:rsidRDefault="00274512">
            <w:pPr>
              <w:widowControl/>
              <w:snapToGrid w:val="0"/>
              <w:rPr>
                <w:rFonts w:ascii="宋体" w:hAnsi="宋体" w:cs="宋体"/>
                <w:kern w:val="0"/>
                <w:szCs w:val="21"/>
              </w:rPr>
            </w:pPr>
            <w:r>
              <w:rPr>
                <w:rFonts w:ascii="宋体" w:hAnsi="宋体" w:cs="宋体" w:hint="eastAsia"/>
                <w:kern w:val="0"/>
                <w:szCs w:val="21"/>
              </w:rPr>
              <w:t>（3）要求钩缓模型中考虑缓冲器初压力、车钩间隙等参数；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r w:rsidR="00274512" w:rsidTr="00274512">
        <w:trPr>
          <w:trHeight w:val="1739"/>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机车车辆模块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机车车辆模块应包括以下内容：</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（1）支持所有重载机车、货车动力学模型的创建，包括货车的空车和重车模型，采用一维单质点模型；</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（2）机车、货车模型中考虑牵引力、空气制动力、电制动力、车钩力、运行阻力等各影响因素；</w:t>
            </w:r>
          </w:p>
          <w:p w:rsidR="00274512" w:rsidRDefault="00274512">
            <w:pPr>
              <w:widowControl/>
              <w:snapToGrid w:val="0"/>
              <w:rPr>
                <w:rFonts w:ascii="宋体" w:hAnsi="宋体" w:cs="宋体"/>
                <w:kern w:val="0"/>
                <w:szCs w:val="21"/>
              </w:rPr>
            </w:pPr>
            <w:r>
              <w:rPr>
                <w:rFonts w:ascii="宋体" w:hAnsi="宋体" w:cs="宋体" w:hint="eastAsia"/>
                <w:kern w:val="0"/>
                <w:szCs w:val="21"/>
              </w:rPr>
              <w:t>（3）牵引力和制动力能够考虑轮轨粘着极限的限制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r w:rsidR="00274512" w:rsidTr="00274512">
        <w:trPr>
          <w:trHeight w:val="55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线路平纵断面模块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（1）支持上下坡道、曲线线路条件的建模，能够反映不同线路坡度、曲线半径、缓和曲线长度等因素；</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（2）支持平纵断面不同线路条件的组合；</w:t>
            </w:r>
          </w:p>
          <w:p w:rsidR="00274512" w:rsidRDefault="00274512">
            <w:pPr>
              <w:widowControl/>
              <w:snapToGrid w:val="0"/>
              <w:rPr>
                <w:rFonts w:ascii="宋体" w:hAnsi="宋体" w:cs="宋体"/>
                <w:kern w:val="0"/>
                <w:szCs w:val="21"/>
              </w:rPr>
            </w:pPr>
            <w:r>
              <w:rPr>
                <w:rFonts w:ascii="宋体" w:hAnsi="宋体" w:cs="宋体" w:hint="eastAsia"/>
                <w:kern w:val="0"/>
                <w:szCs w:val="21"/>
              </w:rPr>
              <w:t>（3）能够根据列车运行速度、线路条件、车辆信息得到相应的列车运行阻力</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r w:rsidR="00274512" w:rsidTr="00274512">
        <w:trPr>
          <w:trHeight w:val="890"/>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求解模块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（1）支持显式积分方法，积分步长可按用户需求调整；</w:t>
            </w:r>
          </w:p>
          <w:p w:rsidR="00274512" w:rsidRDefault="00274512">
            <w:pPr>
              <w:widowControl/>
              <w:snapToGrid w:val="0"/>
              <w:rPr>
                <w:rFonts w:ascii="宋体" w:hAnsi="宋体" w:cs="宋体"/>
                <w:kern w:val="0"/>
                <w:szCs w:val="21"/>
              </w:rPr>
            </w:pPr>
            <w:r>
              <w:rPr>
                <w:rFonts w:ascii="宋体" w:hAnsi="宋体" w:cs="宋体" w:hint="eastAsia"/>
                <w:kern w:val="0"/>
                <w:szCs w:val="21"/>
              </w:rPr>
              <w:t>（2）可控制计算结果的输出步长。</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r w:rsidR="00274512" w:rsidTr="00274512">
        <w:trPr>
          <w:trHeight w:val="558"/>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rPr>
                <w:rFonts w:ascii="宋体" w:hAnsi="宋体" w:cs="宋体"/>
                <w:kern w:val="0"/>
                <w:szCs w:val="21"/>
              </w:rPr>
            </w:pPr>
            <w:r>
              <w:rPr>
                <w:rFonts w:ascii="宋体" w:hAnsi="宋体" w:cs="宋体" w:hint="eastAsia"/>
                <w:kern w:val="0"/>
                <w:szCs w:val="21"/>
              </w:rPr>
              <w:t>后处理模块</w:t>
            </w:r>
          </w:p>
        </w:tc>
        <w:tc>
          <w:tcPr>
            <w:tcW w:w="5022"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snapToGrid w:val="0"/>
              <w:rPr>
                <w:rFonts w:ascii="宋体" w:hAnsi="宋体" w:cs="宋体"/>
                <w:kern w:val="0"/>
                <w:szCs w:val="21"/>
              </w:rPr>
            </w:pPr>
            <w:r>
              <w:rPr>
                <w:rFonts w:ascii="宋体" w:hAnsi="宋体" w:cs="宋体" w:hint="eastAsia"/>
                <w:kern w:val="0"/>
                <w:szCs w:val="21"/>
              </w:rPr>
              <w:t>后处理模块应包括以下内容：</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（1）友好的操作界面；</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（2）可以将计算结果写入数据库或文件；</w:t>
            </w:r>
          </w:p>
          <w:p w:rsidR="00274512" w:rsidRDefault="00274512">
            <w:pPr>
              <w:widowControl/>
              <w:snapToGrid w:val="0"/>
              <w:rPr>
                <w:rFonts w:ascii="宋体" w:hAnsi="宋体" w:cs="宋体" w:hint="eastAsia"/>
                <w:kern w:val="0"/>
                <w:szCs w:val="21"/>
              </w:rPr>
            </w:pPr>
            <w:r>
              <w:rPr>
                <w:rFonts w:ascii="宋体" w:hAnsi="宋体" w:cs="宋体" w:hint="eastAsia"/>
                <w:kern w:val="0"/>
                <w:szCs w:val="21"/>
              </w:rPr>
              <w:t>（3）可以用曲线、表格等多种形式显示计算结果</w:t>
            </w:r>
          </w:p>
          <w:p w:rsidR="00274512" w:rsidRDefault="00274512">
            <w:pPr>
              <w:widowControl/>
              <w:snapToGrid w:val="0"/>
              <w:rPr>
                <w:rFonts w:ascii="宋体" w:hAnsi="宋体" w:cs="宋体"/>
                <w:kern w:val="0"/>
                <w:szCs w:val="21"/>
              </w:rPr>
            </w:pPr>
            <w:r>
              <w:rPr>
                <w:rFonts w:ascii="宋体" w:hAnsi="宋体" w:cs="宋体" w:hint="eastAsia"/>
                <w:kern w:val="0"/>
                <w:szCs w:val="21"/>
              </w:rPr>
              <w:t>（4）可以统计动力学指标的最大值、均方根等统计参数；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套</w:t>
            </w:r>
          </w:p>
        </w:tc>
        <w:tc>
          <w:tcPr>
            <w:tcW w:w="733" w:type="dxa"/>
            <w:tcBorders>
              <w:top w:val="single" w:sz="4" w:space="0" w:color="auto"/>
              <w:left w:val="single" w:sz="4" w:space="0" w:color="auto"/>
              <w:bottom w:val="single" w:sz="4" w:space="0" w:color="auto"/>
              <w:right w:val="single" w:sz="4" w:space="0" w:color="auto"/>
            </w:tcBorders>
            <w:vAlign w:val="center"/>
            <w:hideMark/>
          </w:tcPr>
          <w:p w:rsidR="00274512" w:rsidRDefault="00274512">
            <w:pPr>
              <w:widowControl/>
              <w:jc w:val="center"/>
              <w:rPr>
                <w:rFonts w:ascii="宋体" w:hAnsi="宋体" w:cs="宋体"/>
                <w:kern w:val="0"/>
                <w:szCs w:val="21"/>
              </w:rPr>
            </w:pPr>
            <w:r>
              <w:rPr>
                <w:rFonts w:ascii="宋体" w:hAnsi="宋体" w:cs="宋体" w:hint="eastAsia"/>
                <w:kern w:val="0"/>
                <w:szCs w:val="21"/>
              </w:rPr>
              <w:t>1</w:t>
            </w:r>
          </w:p>
        </w:tc>
      </w:tr>
    </w:tbl>
    <w:p w:rsidR="00274512" w:rsidRDefault="00274512" w:rsidP="00274512">
      <w:pPr>
        <w:spacing w:beforeLines="50" w:afterLines="50" w:line="360" w:lineRule="auto"/>
        <w:rPr>
          <w:b/>
        </w:rPr>
      </w:pPr>
      <w:bookmarkStart w:id="10" w:name="_Toc144974826"/>
      <w:bookmarkStart w:id="11" w:name="_Toc152042546"/>
      <w:bookmarkStart w:id="12" w:name="_Toc152045767"/>
      <w:bookmarkStart w:id="13" w:name="_Toc179632785"/>
      <w:bookmarkEnd w:id="10"/>
      <w:bookmarkEnd w:id="11"/>
      <w:bookmarkEnd w:id="12"/>
      <w:bookmarkEnd w:id="13"/>
      <w:r>
        <w:rPr>
          <w:b/>
        </w:rPr>
        <w:t>3</w:t>
      </w:r>
      <w:r>
        <w:rPr>
          <w:rFonts w:hint="eastAsia"/>
          <w:b/>
        </w:rPr>
        <w:t>、售后服务要求</w:t>
      </w:r>
    </w:p>
    <w:p w:rsidR="00274512" w:rsidRDefault="00274512" w:rsidP="00274512">
      <w:pPr>
        <w:spacing w:line="440" w:lineRule="exact"/>
        <w:rPr>
          <w:szCs w:val="21"/>
        </w:rPr>
      </w:pPr>
      <w:r>
        <w:rPr>
          <w:szCs w:val="21"/>
        </w:rPr>
        <w:t>3.1</w:t>
      </w:r>
      <w:r>
        <w:rPr>
          <w:rFonts w:hint="eastAsia"/>
          <w:szCs w:val="21"/>
        </w:rPr>
        <w:t>软件升级及技术支持</w:t>
      </w:r>
    </w:p>
    <w:p w:rsidR="00274512" w:rsidRDefault="00274512" w:rsidP="00274512">
      <w:pPr>
        <w:spacing w:line="440" w:lineRule="exact"/>
        <w:rPr>
          <w:szCs w:val="21"/>
        </w:rPr>
      </w:pPr>
      <w:r>
        <w:rPr>
          <w:rFonts w:hint="eastAsia"/>
          <w:szCs w:val="21"/>
        </w:rPr>
        <w:t>（</w:t>
      </w:r>
      <w:r>
        <w:rPr>
          <w:szCs w:val="21"/>
        </w:rPr>
        <w:t>1</w:t>
      </w:r>
      <w:r>
        <w:rPr>
          <w:rFonts w:hint="eastAsia"/>
          <w:szCs w:val="21"/>
        </w:rPr>
        <w:t>）从软件验收通过起，由投标人提供</w:t>
      </w:r>
      <w:r>
        <w:rPr>
          <w:szCs w:val="21"/>
        </w:rPr>
        <w:t>3</w:t>
      </w:r>
      <w:r>
        <w:rPr>
          <w:rFonts w:hint="eastAsia"/>
          <w:szCs w:val="21"/>
        </w:rPr>
        <w:t>年售后服务</w:t>
      </w:r>
      <w:r>
        <w:rPr>
          <w:szCs w:val="21"/>
        </w:rPr>
        <w:t xml:space="preserve">, </w:t>
      </w:r>
      <w:r>
        <w:rPr>
          <w:rFonts w:hint="eastAsia"/>
          <w:szCs w:val="21"/>
        </w:rPr>
        <w:t>免费产品升级、技术支持服务；</w:t>
      </w:r>
    </w:p>
    <w:p w:rsidR="00274512" w:rsidRDefault="00274512" w:rsidP="00274512">
      <w:pPr>
        <w:spacing w:line="440" w:lineRule="exact"/>
        <w:rPr>
          <w:szCs w:val="21"/>
        </w:rPr>
      </w:pPr>
      <w:r>
        <w:rPr>
          <w:rFonts w:hint="eastAsia"/>
          <w:szCs w:val="21"/>
        </w:rPr>
        <w:t>（</w:t>
      </w:r>
      <w:r>
        <w:rPr>
          <w:szCs w:val="21"/>
        </w:rPr>
        <w:t>2</w:t>
      </w:r>
      <w:r>
        <w:rPr>
          <w:rFonts w:hint="eastAsia"/>
          <w:szCs w:val="21"/>
        </w:rPr>
        <w:t>）从软件验收通过起，由投标人提供</w:t>
      </w:r>
      <w:r>
        <w:rPr>
          <w:szCs w:val="21"/>
        </w:rPr>
        <w:t>3</w:t>
      </w:r>
      <w:r>
        <w:rPr>
          <w:rFonts w:hint="eastAsia"/>
          <w:szCs w:val="21"/>
        </w:rPr>
        <w:t>年开发专用仿真程序的技术咨询服务；</w:t>
      </w:r>
    </w:p>
    <w:p w:rsidR="00274512" w:rsidRDefault="00274512" w:rsidP="00274512">
      <w:pPr>
        <w:spacing w:line="440" w:lineRule="exact"/>
        <w:rPr>
          <w:szCs w:val="21"/>
        </w:rPr>
      </w:pPr>
      <w:r>
        <w:rPr>
          <w:rFonts w:hint="eastAsia"/>
          <w:szCs w:val="21"/>
        </w:rPr>
        <w:t>（</w:t>
      </w:r>
      <w:r>
        <w:rPr>
          <w:szCs w:val="21"/>
        </w:rPr>
        <w:t>3</w:t>
      </w:r>
      <w:r>
        <w:rPr>
          <w:rFonts w:hint="eastAsia"/>
          <w:szCs w:val="21"/>
        </w:rPr>
        <w:t>）投标人在接到用户需要技术支持的申请后必须在</w:t>
      </w:r>
      <w:r>
        <w:rPr>
          <w:szCs w:val="21"/>
        </w:rPr>
        <w:t>2</w:t>
      </w:r>
      <w:r>
        <w:rPr>
          <w:rFonts w:hint="eastAsia"/>
          <w:szCs w:val="21"/>
        </w:rPr>
        <w:t>小时内响应，并在</w:t>
      </w:r>
      <w:r>
        <w:rPr>
          <w:szCs w:val="21"/>
        </w:rPr>
        <w:t>48</w:t>
      </w:r>
      <w:r>
        <w:rPr>
          <w:rFonts w:hint="eastAsia"/>
          <w:szCs w:val="21"/>
        </w:rPr>
        <w:t>小时内提出解决方案；</w:t>
      </w:r>
    </w:p>
    <w:p w:rsidR="00274512" w:rsidRDefault="00274512" w:rsidP="00274512">
      <w:pPr>
        <w:spacing w:line="440" w:lineRule="exact"/>
        <w:rPr>
          <w:szCs w:val="21"/>
        </w:rPr>
      </w:pPr>
      <w:r>
        <w:rPr>
          <w:rFonts w:hint="eastAsia"/>
          <w:szCs w:val="21"/>
        </w:rPr>
        <w:t>（</w:t>
      </w:r>
      <w:r>
        <w:rPr>
          <w:szCs w:val="21"/>
        </w:rPr>
        <w:t>4</w:t>
      </w:r>
      <w:r>
        <w:rPr>
          <w:rFonts w:hint="eastAsia"/>
          <w:szCs w:val="21"/>
        </w:rPr>
        <w:t>）对于软件新技术发布会、用户年会等，乙方应邀请甲方参加并提供若干免费注册名额；</w:t>
      </w:r>
    </w:p>
    <w:p w:rsidR="00274512" w:rsidRDefault="00274512" w:rsidP="00274512">
      <w:pPr>
        <w:spacing w:line="440" w:lineRule="exact"/>
        <w:rPr>
          <w:szCs w:val="21"/>
        </w:rPr>
      </w:pPr>
      <w:r>
        <w:rPr>
          <w:rFonts w:hint="eastAsia"/>
          <w:szCs w:val="21"/>
        </w:rPr>
        <w:t>（</w:t>
      </w:r>
      <w:r>
        <w:rPr>
          <w:szCs w:val="21"/>
        </w:rPr>
        <w:t>5</w:t>
      </w:r>
      <w:r>
        <w:rPr>
          <w:rFonts w:hint="eastAsia"/>
          <w:szCs w:val="21"/>
        </w:rPr>
        <w:t>）提供改软件所有模块的源代码。</w:t>
      </w:r>
    </w:p>
    <w:p w:rsidR="00274512" w:rsidRDefault="00274512" w:rsidP="00274512">
      <w:pPr>
        <w:spacing w:line="440" w:lineRule="exact"/>
        <w:rPr>
          <w:szCs w:val="21"/>
        </w:rPr>
      </w:pPr>
      <w:r>
        <w:rPr>
          <w:szCs w:val="21"/>
        </w:rPr>
        <w:t>3.2</w:t>
      </w:r>
      <w:r>
        <w:rPr>
          <w:rFonts w:hint="eastAsia"/>
          <w:szCs w:val="21"/>
        </w:rPr>
        <w:t>培训</w:t>
      </w:r>
    </w:p>
    <w:p w:rsidR="00274512" w:rsidRDefault="00274512" w:rsidP="00274512">
      <w:pPr>
        <w:spacing w:line="440" w:lineRule="exact"/>
        <w:ind w:firstLineChars="200" w:firstLine="420"/>
        <w:rPr>
          <w:szCs w:val="21"/>
        </w:rPr>
      </w:pPr>
      <w:r>
        <w:rPr>
          <w:rFonts w:hint="eastAsia"/>
          <w:szCs w:val="21"/>
        </w:rPr>
        <w:t>提供的培训应包含基础培训、高级培训、典型案例三个方面的内容，为本地脱产方式，商家上门培训，提供培训教程，以便快速使用。</w:t>
      </w:r>
    </w:p>
    <w:p w:rsidR="00274512" w:rsidRDefault="00274512" w:rsidP="00274512">
      <w:pPr>
        <w:spacing w:line="440" w:lineRule="exact"/>
      </w:pPr>
      <w:r>
        <w:t>3.3</w:t>
      </w:r>
      <w:r>
        <w:rPr>
          <w:rFonts w:hint="eastAsia"/>
        </w:rPr>
        <w:t>需提供详细的售后服务方案；</w:t>
      </w:r>
    </w:p>
    <w:p w:rsidR="00274512" w:rsidRDefault="00274512" w:rsidP="00274512">
      <w:pPr>
        <w:spacing w:line="440" w:lineRule="exact"/>
        <w:ind w:firstLineChars="200" w:firstLine="420"/>
        <w:rPr>
          <w:szCs w:val="21"/>
        </w:rPr>
      </w:pPr>
      <w:r>
        <w:rPr>
          <w:rFonts w:hint="eastAsia"/>
          <w:szCs w:val="21"/>
        </w:rPr>
        <w:t>上述技术要求和其他要求，仅作为报价人编制响应性文件和参加谈判时之参考。通过谈判，最终确定符合采购需求的技术指标及相关要求。</w:t>
      </w:r>
    </w:p>
    <w:p w:rsidR="00274512" w:rsidRDefault="00274512" w:rsidP="00274512">
      <w:pPr>
        <w:spacing w:beforeLines="50" w:afterLines="50" w:line="360" w:lineRule="auto"/>
        <w:rPr>
          <w:b/>
        </w:rPr>
      </w:pPr>
      <w:r>
        <w:rPr>
          <w:b/>
        </w:rPr>
        <w:lastRenderedPageBreak/>
        <w:t>4</w:t>
      </w:r>
      <w:r>
        <w:rPr>
          <w:rFonts w:hint="eastAsia"/>
          <w:b/>
        </w:rPr>
        <w:t>、其它</w:t>
      </w:r>
    </w:p>
    <w:p w:rsidR="00274512" w:rsidRDefault="00274512" w:rsidP="00274512">
      <w:pPr>
        <w:spacing w:line="440" w:lineRule="exact"/>
        <w:ind w:firstLineChars="200" w:firstLine="420"/>
        <w:rPr>
          <w:szCs w:val="21"/>
        </w:rPr>
      </w:pPr>
      <w:r>
        <w:rPr>
          <w:rFonts w:hint="eastAsia"/>
          <w:szCs w:val="21"/>
        </w:rPr>
        <w:t>报价标人需作出如下承诺，否则报价将不被接受：</w:t>
      </w:r>
    </w:p>
    <w:p w:rsidR="00E93140" w:rsidRDefault="00274512" w:rsidP="00274512">
      <w:r>
        <w:rPr>
          <w:rFonts w:hint="eastAsia"/>
          <w:szCs w:val="21"/>
        </w:rPr>
        <w:t>长编组、大轴重重载列车纵向动力学仿真分析平台所有权归西南交通大学所有。对于该仿真分析平台，成交人不得卖给第三方、不得申请专利、不得申请著作权。</w:t>
      </w:r>
    </w:p>
    <w:sectPr w:rsidR="00E931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140" w:rsidRDefault="00E93140" w:rsidP="00274512">
      <w:r>
        <w:separator/>
      </w:r>
    </w:p>
  </w:endnote>
  <w:endnote w:type="continuationSeparator" w:id="1">
    <w:p w:rsidR="00E93140" w:rsidRDefault="00E93140" w:rsidP="00274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140" w:rsidRDefault="00E93140" w:rsidP="00274512">
      <w:r>
        <w:separator/>
      </w:r>
    </w:p>
  </w:footnote>
  <w:footnote w:type="continuationSeparator" w:id="1">
    <w:p w:rsidR="00E93140" w:rsidRDefault="00E93140" w:rsidP="00274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512"/>
    <w:rsid w:val="00274512"/>
    <w:rsid w:val="00E93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4512"/>
    <w:rPr>
      <w:sz w:val="18"/>
      <w:szCs w:val="18"/>
    </w:rPr>
  </w:style>
  <w:style w:type="paragraph" w:styleId="a4">
    <w:name w:val="footer"/>
    <w:basedOn w:val="a"/>
    <w:link w:val="Char0"/>
    <w:uiPriority w:val="99"/>
    <w:semiHidden/>
    <w:unhideWhenUsed/>
    <w:rsid w:val="00274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4512"/>
    <w:rPr>
      <w:sz w:val="18"/>
      <w:szCs w:val="18"/>
    </w:rPr>
  </w:style>
  <w:style w:type="paragraph" w:styleId="a5">
    <w:name w:val="Balloon Text"/>
    <w:basedOn w:val="a"/>
    <w:link w:val="Char1"/>
    <w:uiPriority w:val="99"/>
    <w:semiHidden/>
    <w:unhideWhenUsed/>
    <w:rsid w:val="00274512"/>
    <w:rPr>
      <w:sz w:val="18"/>
      <w:szCs w:val="18"/>
    </w:rPr>
  </w:style>
  <w:style w:type="character" w:customStyle="1" w:styleId="Char1">
    <w:name w:val="批注框文本 Char"/>
    <w:basedOn w:val="a0"/>
    <w:link w:val="a5"/>
    <w:uiPriority w:val="99"/>
    <w:semiHidden/>
    <w:rsid w:val="002745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104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2015-07-02T05:57:00Z</dcterms:created>
  <dcterms:modified xsi:type="dcterms:W3CDTF">2015-07-02T05:57:00Z</dcterms:modified>
</cp:coreProperties>
</file>