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E5" w:rsidRDefault="00E975E5" w:rsidP="00E975E5">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E975E5" w:rsidRDefault="00E975E5" w:rsidP="00E975E5">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E975E5" w:rsidTr="00E975E5">
        <w:tc>
          <w:tcPr>
            <w:tcW w:w="82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b/>
                <w:color w:val="FF0000"/>
                <w:szCs w:val="21"/>
              </w:rPr>
            </w:pPr>
            <w:r>
              <w:rPr>
                <w:rFonts w:hint="eastAsia"/>
                <w:b/>
                <w:color w:val="FF0000"/>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b/>
                <w:color w:val="FF0000"/>
                <w:szCs w:val="21"/>
              </w:rPr>
            </w:pPr>
            <w:r>
              <w:rPr>
                <w:rFonts w:hint="eastAsia"/>
                <w:b/>
                <w:color w:val="FF0000"/>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b/>
                <w:color w:val="FF0000"/>
                <w:szCs w:val="21"/>
              </w:rPr>
            </w:pPr>
            <w:r>
              <w:rPr>
                <w:rFonts w:hint="eastAsia"/>
                <w:b/>
                <w:color w:val="FF0000"/>
                <w:szCs w:val="21"/>
              </w:rPr>
              <w:t>数量</w:t>
            </w:r>
          </w:p>
        </w:tc>
      </w:tr>
      <w:tr w:rsidR="00E975E5" w:rsidTr="00E975E5">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cs="宋体"/>
                <w:color w:val="FF0000"/>
                <w:szCs w:val="21"/>
              </w:rPr>
            </w:pPr>
            <w:r>
              <w:rPr>
                <w:rFonts w:ascii="宋体" w:hAnsi="宋体" w:cs="宋体" w:hint="eastAsia"/>
                <w:color w:val="FF0000"/>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rFonts w:ascii="宋体" w:hAnsi="宋体" w:cs="宋体"/>
                <w:color w:val="FF0000"/>
                <w:szCs w:val="21"/>
              </w:rPr>
            </w:pPr>
            <w:r>
              <w:rPr>
                <w:rFonts w:ascii="宋体" w:hAnsi="宋体" w:cs="宋体" w:hint="eastAsia"/>
                <w:color w:val="FF0000"/>
                <w:szCs w:val="21"/>
              </w:rPr>
              <w:t>深度学习机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cs="宋体"/>
                <w:color w:val="FF0000"/>
                <w:szCs w:val="21"/>
              </w:rPr>
            </w:pPr>
            <w:r>
              <w:rPr>
                <w:rFonts w:ascii="宋体" w:hAnsi="宋体" w:cs="宋体" w:hint="eastAsia"/>
                <w:color w:val="FF0000"/>
                <w:szCs w:val="21"/>
              </w:rPr>
              <w:t>2台</w:t>
            </w:r>
          </w:p>
        </w:tc>
      </w:tr>
      <w:tr w:rsidR="00E975E5" w:rsidTr="00E975E5">
        <w:tc>
          <w:tcPr>
            <w:tcW w:w="82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cs="宋体"/>
                <w:color w:val="FF0000"/>
                <w:szCs w:val="21"/>
              </w:rPr>
            </w:pPr>
            <w:r>
              <w:rPr>
                <w:rFonts w:ascii="宋体" w:hAnsi="宋体" w:cs="宋体" w:hint="eastAsia"/>
                <w:color w:val="FF0000"/>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rFonts w:ascii="宋体" w:hAnsi="宋体" w:cs="宋体"/>
                <w:color w:val="FF0000"/>
                <w:szCs w:val="21"/>
              </w:rPr>
            </w:pPr>
            <w:r>
              <w:rPr>
                <w:rFonts w:ascii="宋体" w:hAnsi="宋体" w:cs="宋体" w:hint="eastAsia"/>
                <w:color w:val="FF0000"/>
                <w:szCs w:val="21"/>
              </w:rPr>
              <w:t>GPU工作站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cs="宋体"/>
                <w:color w:val="FF0000"/>
                <w:szCs w:val="21"/>
              </w:rPr>
            </w:pPr>
            <w:r>
              <w:rPr>
                <w:rFonts w:ascii="宋体" w:hAnsi="宋体" w:cs="宋体" w:hint="eastAsia"/>
                <w:color w:val="FF0000"/>
                <w:szCs w:val="21"/>
              </w:rPr>
              <w:t>3台</w:t>
            </w:r>
          </w:p>
        </w:tc>
      </w:tr>
      <w:tr w:rsidR="00E975E5" w:rsidTr="00E975E5">
        <w:tc>
          <w:tcPr>
            <w:tcW w:w="82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cs="宋体"/>
                <w:color w:val="FF0000"/>
                <w:szCs w:val="21"/>
              </w:rPr>
            </w:pPr>
            <w:r>
              <w:rPr>
                <w:rFonts w:ascii="宋体" w:hAnsi="宋体" w:cs="宋体" w:hint="eastAsia"/>
                <w:color w:val="FF0000"/>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rFonts w:ascii="宋体" w:hAnsi="宋体" w:cs="宋体"/>
                <w:color w:val="FF0000"/>
                <w:szCs w:val="21"/>
              </w:rPr>
            </w:pPr>
            <w:r>
              <w:rPr>
                <w:rFonts w:ascii="宋体" w:hAnsi="宋体" w:cs="宋体" w:hint="eastAsia"/>
                <w:color w:val="FF0000"/>
                <w:szCs w:val="21"/>
              </w:rPr>
              <w:t>图形图像工作站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cs="宋体"/>
                <w:color w:val="FF0000"/>
                <w:szCs w:val="21"/>
              </w:rPr>
            </w:pPr>
            <w:r>
              <w:rPr>
                <w:rFonts w:ascii="宋体" w:hAnsi="宋体" w:cs="宋体" w:hint="eastAsia"/>
                <w:color w:val="FF0000"/>
                <w:szCs w:val="21"/>
              </w:rPr>
              <w:t>1台</w:t>
            </w:r>
          </w:p>
        </w:tc>
      </w:tr>
    </w:tbl>
    <w:p w:rsidR="00E975E5" w:rsidRDefault="00E975E5" w:rsidP="00E975E5">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E975E5" w:rsidRDefault="00E975E5" w:rsidP="00E975E5">
      <w:pPr>
        <w:rPr>
          <w:rFonts w:hint="eastAsia"/>
          <w:color w:val="FF0000"/>
        </w:rPr>
      </w:pPr>
      <w:r>
        <w:rPr>
          <w:rFonts w:hint="eastAsia"/>
          <w:color w:val="FF0000"/>
        </w:rPr>
        <w:t>重要性分为“★”、“</w:t>
      </w:r>
      <w:r>
        <w:rPr>
          <w:color w:val="FF0000"/>
        </w:rPr>
        <w:t>#</w:t>
      </w:r>
      <w:r>
        <w:rPr>
          <w:rFonts w:hint="eastAsia"/>
          <w:color w:val="FF0000"/>
        </w:rPr>
        <w:t>”和一般无标示指标。★代表</w:t>
      </w:r>
      <w:proofErr w:type="gramStart"/>
      <w:r>
        <w:rPr>
          <w:rFonts w:hint="eastAsia"/>
          <w:color w:val="FF0000"/>
        </w:rPr>
        <w:t>最</w:t>
      </w:r>
      <w:proofErr w:type="gramEnd"/>
      <w:r>
        <w:rPr>
          <w:rFonts w:hint="eastAsia"/>
          <w:color w:val="FF0000"/>
        </w:rPr>
        <w:t>关键指标，不满足该指标项将导致投标被</w:t>
      </w:r>
      <w:r>
        <w:rPr>
          <w:rFonts w:hint="eastAsia"/>
          <w:b/>
          <w:color w:val="FF0000"/>
        </w:rPr>
        <w:t>拒绝</w:t>
      </w:r>
      <w:r>
        <w:rPr>
          <w:rFonts w:hint="eastAsia"/>
          <w:color w:val="FF0000"/>
        </w:rPr>
        <w:t>，</w:t>
      </w:r>
      <w:r>
        <w:rPr>
          <w:color w:val="FF0000"/>
        </w:rPr>
        <w:t>#</w:t>
      </w:r>
      <w:r>
        <w:rPr>
          <w:rFonts w:hint="eastAsia"/>
          <w:color w:val="FF0000"/>
        </w:rPr>
        <w:t>代表重要指标，无标识则表示一般指标项。</w:t>
      </w:r>
    </w:p>
    <w:tbl>
      <w:tblPr>
        <w:tblStyle w:val="a7"/>
        <w:tblW w:w="0" w:type="auto"/>
        <w:tblLook w:val="04A0"/>
      </w:tblPr>
      <w:tblGrid>
        <w:gridCol w:w="675"/>
        <w:gridCol w:w="1701"/>
        <w:gridCol w:w="6096"/>
      </w:tblGrid>
      <w:tr w:rsidR="00E975E5" w:rsidTr="00E975E5">
        <w:tc>
          <w:tcPr>
            <w:tcW w:w="675" w:type="dxa"/>
            <w:tcBorders>
              <w:top w:val="single" w:sz="4" w:space="0" w:color="auto"/>
              <w:left w:val="single" w:sz="4" w:space="0" w:color="auto"/>
              <w:bottom w:val="single" w:sz="4" w:space="0" w:color="auto"/>
              <w:right w:val="single" w:sz="4" w:space="0" w:color="auto"/>
            </w:tcBorders>
            <w:vAlign w:val="center"/>
            <w:hideMark/>
          </w:tcPr>
          <w:p w:rsidR="00E975E5" w:rsidRDefault="00E975E5" w:rsidP="005F4D25">
            <w:pPr>
              <w:spacing w:beforeLines="50" w:afterLines="50"/>
              <w:jc w:val="center"/>
              <w:rPr>
                <w:b/>
                <w:kern w:val="2"/>
                <w:sz w:val="21"/>
                <w:szCs w:val="22"/>
              </w:rPr>
            </w:pPr>
            <w:bookmarkStart w:id="22" w:name="_Toc477248552"/>
            <w:bookmarkEnd w:id="10"/>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75E5" w:rsidRDefault="00E975E5" w:rsidP="005F4D25">
            <w:pPr>
              <w:spacing w:beforeLines="50" w:afterLines="50"/>
              <w:jc w:val="center"/>
              <w:rPr>
                <w:b/>
                <w:kern w:val="2"/>
                <w:sz w:val="21"/>
                <w:szCs w:val="22"/>
              </w:rPr>
            </w:pPr>
            <w:r>
              <w:rPr>
                <w:rFonts w:hint="eastAsia"/>
                <w:b/>
              </w:rPr>
              <w:t>名称</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5E5" w:rsidRDefault="00E975E5" w:rsidP="005F4D25">
            <w:pPr>
              <w:spacing w:beforeLines="50" w:afterLines="50"/>
              <w:jc w:val="center"/>
              <w:rPr>
                <w:b/>
                <w:kern w:val="2"/>
                <w:sz w:val="21"/>
                <w:szCs w:val="22"/>
              </w:rPr>
            </w:pPr>
            <w:r>
              <w:rPr>
                <w:rFonts w:hint="eastAsia"/>
                <w:b/>
              </w:rPr>
              <w:t>详细技术指标及功能需求</w:t>
            </w:r>
          </w:p>
        </w:tc>
      </w:tr>
      <w:tr w:rsidR="00E975E5" w:rsidTr="00E975E5">
        <w:tc>
          <w:tcPr>
            <w:tcW w:w="675" w:type="dxa"/>
            <w:tcBorders>
              <w:top w:val="single" w:sz="4" w:space="0" w:color="auto"/>
              <w:left w:val="single" w:sz="4" w:space="0" w:color="auto"/>
              <w:bottom w:val="single" w:sz="4" w:space="0" w:color="auto"/>
              <w:right w:val="single" w:sz="4" w:space="0" w:color="auto"/>
            </w:tcBorders>
            <w:vAlign w:val="center"/>
            <w:hideMark/>
          </w:tcPr>
          <w:p w:rsidR="00E975E5" w:rsidRDefault="00E975E5" w:rsidP="005F4D25">
            <w:pPr>
              <w:spacing w:beforeLines="50" w:afterLines="50"/>
              <w:jc w:val="center"/>
              <w:rPr>
                <w:b/>
                <w:kern w:val="2"/>
                <w:sz w:val="21"/>
                <w:szCs w:val="22"/>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kern w:val="2"/>
                <w:sz w:val="21"/>
                <w:szCs w:val="22"/>
              </w:rPr>
            </w:pPr>
            <w:r>
              <w:rPr>
                <w:rFonts w:hint="eastAsia"/>
                <w:highlight w:val="white"/>
              </w:rPr>
              <w:t>深度学习机</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kern w:val="2"/>
                <w:sz w:val="21"/>
                <w:szCs w:val="22"/>
              </w:rPr>
            </w:pPr>
            <w:r>
              <w:t>#</w:t>
            </w:r>
            <w:r>
              <w:rPr>
                <w:rFonts w:hint="eastAsia"/>
              </w:rPr>
              <w:t>进行深度学习各种算法的实现，内存大于等于</w:t>
            </w:r>
            <w:r>
              <w:t>128G</w:t>
            </w:r>
          </w:p>
          <w:p w:rsidR="00E975E5" w:rsidRDefault="00E975E5">
            <w:r>
              <w:rPr>
                <w:rFonts w:hint="eastAsia"/>
              </w:rPr>
              <w:t>★只接受整机，不接受兼容组装机</w:t>
            </w:r>
          </w:p>
          <w:p w:rsidR="00E975E5" w:rsidRDefault="00E975E5">
            <w:r>
              <w:rPr>
                <w:rFonts w:hint="eastAsia"/>
              </w:rPr>
              <w:t>★</w:t>
            </w:r>
            <w:proofErr w:type="spellStart"/>
            <w:r>
              <w:t>Nvidia</w:t>
            </w:r>
            <w:proofErr w:type="spellEnd"/>
            <w:r>
              <w:t xml:space="preserve"> Tesla P40 24GB GDDR5 1</w:t>
            </w:r>
            <w:r>
              <w:rPr>
                <w:rFonts w:hint="eastAsia"/>
              </w:rPr>
              <w:t>块</w:t>
            </w:r>
          </w:p>
          <w:p w:rsidR="00E975E5" w:rsidRDefault="00E975E5">
            <w:r>
              <w:t xml:space="preserve">CPU  </w:t>
            </w:r>
            <w:r>
              <w:rPr>
                <w:rFonts w:hint="eastAsia"/>
              </w:rPr>
              <w:t>两颗</w:t>
            </w:r>
            <w:r>
              <w:t xml:space="preserve"> </w:t>
            </w:r>
          </w:p>
          <w:p w:rsidR="00E975E5" w:rsidRDefault="00E975E5">
            <w:r>
              <w:t>24</w:t>
            </w:r>
            <w:r>
              <w:rPr>
                <w:rFonts w:hint="eastAsia"/>
              </w:rPr>
              <w:t>寸显示器</w:t>
            </w:r>
            <w:r>
              <w:t xml:space="preserve"> 2  </w:t>
            </w:r>
            <w:r>
              <w:rPr>
                <w:rFonts w:hint="eastAsia"/>
              </w:rPr>
              <w:t>台</w:t>
            </w:r>
          </w:p>
          <w:p w:rsidR="00E975E5" w:rsidRDefault="00E975E5">
            <w:r>
              <w:rPr>
                <w:rFonts w:hint="eastAsia"/>
              </w:rPr>
              <w:t>系统盘</w:t>
            </w:r>
            <w:r>
              <w:t xml:space="preserve"> SSD  </w:t>
            </w:r>
            <w:r>
              <w:rPr>
                <w:rFonts w:hint="eastAsia"/>
              </w:rPr>
              <w:t>至少</w:t>
            </w:r>
            <w:r>
              <w:t>256G</w:t>
            </w:r>
          </w:p>
          <w:p w:rsidR="00E975E5" w:rsidRDefault="00E975E5">
            <w:r>
              <w:rPr>
                <w:rFonts w:hint="eastAsia"/>
              </w:rPr>
              <w:t>数据盘</w:t>
            </w:r>
            <w:r>
              <w:t xml:space="preserve"> </w:t>
            </w:r>
            <w:r>
              <w:rPr>
                <w:rFonts w:hint="eastAsia"/>
              </w:rPr>
              <w:t>至少</w:t>
            </w:r>
            <w:r>
              <w:t>1T</w:t>
            </w:r>
          </w:p>
          <w:p w:rsidR="00E975E5" w:rsidRDefault="00E975E5">
            <w:pPr>
              <w:rPr>
                <w:kern w:val="2"/>
                <w:sz w:val="21"/>
                <w:szCs w:val="22"/>
              </w:rPr>
            </w:pPr>
            <w:r>
              <w:t xml:space="preserve">linux64 </w:t>
            </w:r>
            <w:r>
              <w:rPr>
                <w:rFonts w:hint="eastAsia"/>
              </w:rPr>
              <w:t>位</w:t>
            </w:r>
            <w:r>
              <w:t xml:space="preserve"> </w:t>
            </w:r>
            <w:r>
              <w:rPr>
                <w:rFonts w:hint="eastAsia"/>
              </w:rPr>
              <w:t>或</w:t>
            </w:r>
            <w:r>
              <w:t xml:space="preserve"> windows </w:t>
            </w:r>
            <w:r>
              <w:rPr>
                <w:rFonts w:hint="eastAsia"/>
              </w:rPr>
              <w:t>系统</w:t>
            </w:r>
            <w:r>
              <w:t xml:space="preserve"> </w:t>
            </w:r>
            <w:r>
              <w:rPr>
                <w:rFonts w:hint="eastAsia"/>
              </w:rPr>
              <w:t>预装</w:t>
            </w:r>
            <w:proofErr w:type="spellStart"/>
            <w:r>
              <w:t>Siton</w:t>
            </w:r>
            <w:proofErr w:type="spellEnd"/>
            <w:r>
              <w:rPr>
                <w:rFonts w:hint="eastAsia"/>
              </w:rPr>
              <w:t>并行编译环境；</w:t>
            </w:r>
            <w:proofErr w:type="spellStart"/>
            <w:r>
              <w:t>cuda</w:t>
            </w:r>
            <w:proofErr w:type="spellEnd"/>
            <w:r>
              <w:rPr>
                <w:rFonts w:hint="eastAsia"/>
              </w:rPr>
              <w:t>程序环境，</w:t>
            </w:r>
            <w:r>
              <w:t>GNU C/C++</w:t>
            </w:r>
            <w:r>
              <w:rPr>
                <w:rFonts w:hint="eastAsia"/>
              </w:rPr>
              <w:t>编译器；</w:t>
            </w:r>
            <w:r>
              <w:t>GUN Fortran77/90</w:t>
            </w:r>
            <w:r>
              <w:rPr>
                <w:rFonts w:hint="eastAsia"/>
              </w:rPr>
              <w:t>编译器；高性能计算函数库；</w:t>
            </w:r>
            <w:proofErr w:type="spellStart"/>
            <w:r>
              <w:t>cuBlascuFFT</w:t>
            </w:r>
            <w:proofErr w:type="spellEnd"/>
            <w:r>
              <w:rPr>
                <w:rFonts w:hint="eastAsia"/>
              </w:rPr>
              <w:t>；</w:t>
            </w:r>
            <w:proofErr w:type="spellStart"/>
            <w:r>
              <w:t>cuSparse</w:t>
            </w:r>
            <w:proofErr w:type="spellEnd"/>
            <w:r>
              <w:rPr>
                <w:rFonts w:hint="eastAsia"/>
              </w:rPr>
              <w:t>；</w:t>
            </w:r>
            <w:proofErr w:type="spellStart"/>
            <w:r>
              <w:t>cuRand</w:t>
            </w:r>
            <w:proofErr w:type="spellEnd"/>
            <w:r>
              <w:rPr>
                <w:rFonts w:hint="eastAsia"/>
              </w:rPr>
              <w:t>；</w:t>
            </w:r>
            <w:proofErr w:type="spellStart"/>
            <w:proofErr w:type="gramStart"/>
            <w:r>
              <w:t>npp;</w:t>
            </w:r>
            <w:proofErr w:type="gramEnd"/>
            <w:r>
              <w:t>OpenCL</w:t>
            </w:r>
            <w:proofErr w:type="spellEnd"/>
            <w:r>
              <w:t>. 1</w:t>
            </w:r>
            <w:r>
              <w:rPr>
                <w:rFonts w:hint="eastAsia"/>
              </w:rPr>
              <w:t>套</w:t>
            </w:r>
          </w:p>
        </w:tc>
      </w:tr>
      <w:tr w:rsidR="00E975E5" w:rsidTr="00E975E5">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E975E5" w:rsidRDefault="00E975E5" w:rsidP="005F4D25">
            <w:pPr>
              <w:spacing w:beforeLines="50" w:afterLines="50"/>
              <w:jc w:val="center"/>
              <w:rPr>
                <w:b/>
                <w:kern w:val="2"/>
                <w:sz w:val="21"/>
                <w:szCs w:val="22"/>
              </w:rPr>
            </w:pPr>
            <w:r>
              <w:rPr>
                <w:b/>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kern w:val="2"/>
                <w:sz w:val="21"/>
                <w:szCs w:val="22"/>
              </w:rPr>
            </w:pPr>
            <w:r>
              <w:t>GPU</w:t>
            </w:r>
            <w:r>
              <w:rPr>
                <w:rFonts w:hint="eastAsia"/>
              </w:rPr>
              <w:t>工作站</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kern w:val="2"/>
                <w:sz w:val="21"/>
                <w:szCs w:val="22"/>
              </w:rPr>
            </w:pPr>
            <w:r>
              <w:rPr>
                <w:rFonts w:hint="eastAsia"/>
              </w:rPr>
              <w:t>主要用来加速运算</w:t>
            </w:r>
          </w:p>
          <w:p w:rsidR="00E975E5" w:rsidRDefault="00E975E5">
            <w:r>
              <w:rPr>
                <w:rFonts w:hint="eastAsia"/>
              </w:rPr>
              <w:t>★只接受整机，不接受兼容组装机</w:t>
            </w:r>
          </w:p>
          <w:p w:rsidR="00E975E5" w:rsidRDefault="00E975E5">
            <w:r>
              <w:rPr>
                <w:rFonts w:hint="eastAsia"/>
              </w:rPr>
              <w:t>★</w:t>
            </w:r>
            <w:proofErr w:type="gramStart"/>
            <w:r>
              <w:rPr>
                <w:rFonts w:hint="eastAsia"/>
              </w:rPr>
              <w:t>运算卡</w:t>
            </w:r>
            <w:proofErr w:type="gramEnd"/>
            <w:r>
              <w:t xml:space="preserve"> </w:t>
            </w:r>
            <w:proofErr w:type="spellStart"/>
            <w:r>
              <w:t>Nvidia</w:t>
            </w:r>
            <w:proofErr w:type="spellEnd"/>
            <w:r>
              <w:t xml:space="preserve"> Tesla  1</w:t>
            </w:r>
            <w:r>
              <w:rPr>
                <w:rFonts w:hint="eastAsia"/>
              </w:rPr>
              <w:t>块</w:t>
            </w:r>
            <w:r>
              <w:t xml:space="preserve"> </w:t>
            </w:r>
          </w:p>
          <w:p w:rsidR="00E975E5" w:rsidRDefault="00E975E5">
            <w:r>
              <w:t xml:space="preserve">CPU  </w:t>
            </w:r>
            <w:r>
              <w:rPr>
                <w:rFonts w:hint="eastAsia"/>
              </w:rPr>
              <w:t>两颗</w:t>
            </w:r>
          </w:p>
          <w:p w:rsidR="00E975E5" w:rsidRDefault="00E975E5">
            <w:r>
              <w:t>24</w:t>
            </w:r>
            <w:r>
              <w:rPr>
                <w:rFonts w:hint="eastAsia"/>
              </w:rPr>
              <w:t>寸显示器</w:t>
            </w:r>
            <w:r>
              <w:t xml:space="preserve">  2 </w:t>
            </w:r>
            <w:r>
              <w:rPr>
                <w:rFonts w:hint="eastAsia"/>
              </w:rPr>
              <w:t>台</w:t>
            </w:r>
          </w:p>
          <w:p w:rsidR="00E975E5" w:rsidRDefault="00E975E5">
            <w:r>
              <w:rPr>
                <w:rFonts w:hint="eastAsia"/>
              </w:rPr>
              <w:t>系统盘</w:t>
            </w:r>
            <w:r>
              <w:t xml:space="preserve"> SSD  </w:t>
            </w:r>
            <w:r>
              <w:rPr>
                <w:rFonts w:hint="eastAsia"/>
              </w:rPr>
              <w:t>至少</w:t>
            </w:r>
            <w:r>
              <w:t>128G</w:t>
            </w:r>
          </w:p>
          <w:p w:rsidR="00E975E5" w:rsidRDefault="00E975E5">
            <w:r>
              <w:rPr>
                <w:rFonts w:hint="eastAsia"/>
              </w:rPr>
              <w:t>数据盘</w:t>
            </w:r>
            <w:r>
              <w:t xml:space="preserve"> </w:t>
            </w:r>
            <w:r>
              <w:rPr>
                <w:rFonts w:hint="eastAsia"/>
              </w:rPr>
              <w:t>至少</w:t>
            </w:r>
            <w:r>
              <w:t>1T</w:t>
            </w:r>
          </w:p>
          <w:p w:rsidR="00E975E5" w:rsidRDefault="00E975E5">
            <w:pPr>
              <w:rPr>
                <w:kern w:val="2"/>
                <w:sz w:val="21"/>
                <w:szCs w:val="22"/>
              </w:rPr>
            </w:pPr>
            <w:r>
              <w:t xml:space="preserve">linux64 </w:t>
            </w:r>
            <w:r>
              <w:rPr>
                <w:rFonts w:hint="eastAsia"/>
              </w:rPr>
              <w:t>位</w:t>
            </w:r>
            <w:r>
              <w:t xml:space="preserve"> </w:t>
            </w:r>
            <w:r>
              <w:rPr>
                <w:rFonts w:hint="eastAsia"/>
              </w:rPr>
              <w:t>或</w:t>
            </w:r>
            <w:r>
              <w:t xml:space="preserve"> windows </w:t>
            </w:r>
            <w:r>
              <w:rPr>
                <w:rFonts w:hint="eastAsia"/>
              </w:rPr>
              <w:t>系统</w:t>
            </w:r>
            <w:r>
              <w:t xml:space="preserve"> </w:t>
            </w:r>
            <w:r>
              <w:rPr>
                <w:rFonts w:hint="eastAsia"/>
              </w:rPr>
              <w:t>预装</w:t>
            </w:r>
            <w:proofErr w:type="spellStart"/>
            <w:r>
              <w:t>Siton</w:t>
            </w:r>
            <w:proofErr w:type="spellEnd"/>
            <w:r>
              <w:rPr>
                <w:rFonts w:hint="eastAsia"/>
              </w:rPr>
              <w:t>并行编译环境；</w:t>
            </w:r>
            <w:proofErr w:type="spellStart"/>
            <w:r>
              <w:t>cuda</w:t>
            </w:r>
            <w:proofErr w:type="spellEnd"/>
            <w:r>
              <w:rPr>
                <w:rFonts w:hint="eastAsia"/>
              </w:rPr>
              <w:t>程序环境，</w:t>
            </w:r>
            <w:r>
              <w:t>GNU C/C++</w:t>
            </w:r>
            <w:r>
              <w:rPr>
                <w:rFonts w:hint="eastAsia"/>
              </w:rPr>
              <w:t>编译器；</w:t>
            </w:r>
            <w:r>
              <w:t>GUN Fortran77/90</w:t>
            </w:r>
            <w:r>
              <w:rPr>
                <w:rFonts w:hint="eastAsia"/>
              </w:rPr>
              <w:t>编译器；高性能计算函数库；</w:t>
            </w:r>
            <w:proofErr w:type="spellStart"/>
            <w:r>
              <w:t>cuBlascuFFT</w:t>
            </w:r>
            <w:proofErr w:type="spellEnd"/>
            <w:r>
              <w:rPr>
                <w:rFonts w:hint="eastAsia"/>
              </w:rPr>
              <w:t>；</w:t>
            </w:r>
            <w:proofErr w:type="spellStart"/>
            <w:r>
              <w:t>cuSparse</w:t>
            </w:r>
            <w:proofErr w:type="spellEnd"/>
            <w:r>
              <w:rPr>
                <w:rFonts w:hint="eastAsia"/>
              </w:rPr>
              <w:t>；</w:t>
            </w:r>
            <w:proofErr w:type="spellStart"/>
            <w:r>
              <w:t>cuRand</w:t>
            </w:r>
            <w:proofErr w:type="spellEnd"/>
            <w:r>
              <w:rPr>
                <w:rFonts w:hint="eastAsia"/>
              </w:rPr>
              <w:t>；</w:t>
            </w:r>
            <w:proofErr w:type="spellStart"/>
            <w:proofErr w:type="gramStart"/>
            <w:r>
              <w:t>npp;</w:t>
            </w:r>
            <w:proofErr w:type="gramEnd"/>
            <w:r>
              <w:t>OpenCL</w:t>
            </w:r>
            <w:proofErr w:type="spellEnd"/>
            <w:r>
              <w:t>. 1</w:t>
            </w:r>
            <w:r>
              <w:rPr>
                <w:rFonts w:hint="eastAsia"/>
              </w:rPr>
              <w:t>套</w:t>
            </w:r>
          </w:p>
        </w:tc>
      </w:tr>
      <w:tr w:rsidR="00E975E5" w:rsidTr="00E975E5">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E975E5" w:rsidRDefault="00E975E5" w:rsidP="005F4D25">
            <w:pPr>
              <w:spacing w:beforeLines="50" w:afterLines="50"/>
              <w:ind w:firstLineChars="100" w:firstLine="211"/>
              <w:rPr>
                <w:b/>
                <w:kern w:val="2"/>
                <w:sz w:val="21"/>
                <w:szCs w:val="22"/>
              </w:rPr>
            </w:pPr>
            <w:r>
              <w:rPr>
                <w:b/>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kern w:val="2"/>
                <w:sz w:val="21"/>
                <w:szCs w:val="22"/>
              </w:rPr>
            </w:pPr>
            <w:r>
              <w:rPr>
                <w:rFonts w:hint="eastAsia"/>
              </w:rPr>
              <w:t>图形图像工作站</w:t>
            </w:r>
          </w:p>
        </w:tc>
        <w:tc>
          <w:tcPr>
            <w:tcW w:w="6096"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kern w:val="2"/>
                <w:sz w:val="21"/>
                <w:szCs w:val="22"/>
              </w:rPr>
            </w:pPr>
            <w:r>
              <w:t>#</w:t>
            </w:r>
            <w:r>
              <w:rPr>
                <w:rFonts w:hint="eastAsia"/>
              </w:rPr>
              <w:t>用于图形图像的处理，内存必须大于等于</w:t>
            </w:r>
            <w:r>
              <w:t>256G</w:t>
            </w:r>
          </w:p>
          <w:p w:rsidR="00E975E5" w:rsidRDefault="00E975E5">
            <w:r>
              <w:rPr>
                <w:rFonts w:hint="eastAsia"/>
              </w:rPr>
              <w:t>★只接受整机，不接受兼容组装机</w:t>
            </w:r>
          </w:p>
          <w:p w:rsidR="00E975E5" w:rsidRDefault="00E975E5">
            <w:r>
              <w:rPr>
                <w:rFonts w:hint="eastAsia"/>
              </w:rPr>
              <w:t>★</w:t>
            </w:r>
            <w:r>
              <w:t xml:space="preserve">NVIDIA  </w:t>
            </w:r>
            <w:proofErr w:type="spellStart"/>
            <w:r>
              <w:t>Quadro</w:t>
            </w:r>
            <w:proofErr w:type="spellEnd"/>
            <w:r>
              <w:t xml:space="preserve">  P5000  1</w:t>
            </w:r>
            <w:r>
              <w:rPr>
                <w:rFonts w:hint="eastAsia"/>
              </w:rPr>
              <w:t>块</w:t>
            </w:r>
          </w:p>
          <w:p w:rsidR="00E975E5" w:rsidRDefault="00E975E5">
            <w:r>
              <w:t xml:space="preserve">CPU  </w:t>
            </w:r>
            <w:r>
              <w:rPr>
                <w:rFonts w:hint="eastAsia"/>
              </w:rPr>
              <w:t>两颗</w:t>
            </w:r>
          </w:p>
          <w:p w:rsidR="00E975E5" w:rsidRDefault="00E975E5">
            <w:r>
              <w:t>24</w:t>
            </w:r>
            <w:r>
              <w:rPr>
                <w:rFonts w:hint="eastAsia"/>
              </w:rPr>
              <w:t>寸显示器</w:t>
            </w:r>
            <w:r>
              <w:t xml:space="preserve"> 2 </w:t>
            </w:r>
            <w:r>
              <w:rPr>
                <w:rFonts w:hint="eastAsia"/>
              </w:rPr>
              <w:t>台</w:t>
            </w:r>
          </w:p>
          <w:p w:rsidR="00E975E5" w:rsidRDefault="00E975E5">
            <w:r>
              <w:rPr>
                <w:rFonts w:hint="eastAsia"/>
              </w:rPr>
              <w:t>系统盘</w:t>
            </w:r>
            <w:r>
              <w:t xml:space="preserve"> SSD  </w:t>
            </w:r>
            <w:r>
              <w:rPr>
                <w:rFonts w:hint="eastAsia"/>
              </w:rPr>
              <w:t>至少</w:t>
            </w:r>
            <w:r>
              <w:t>256G</w:t>
            </w:r>
          </w:p>
          <w:p w:rsidR="00E975E5" w:rsidRDefault="00E975E5">
            <w:r>
              <w:rPr>
                <w:rFonts w:hint="eastAsia"/>
              </w:rPr>
              <w:lastRenderedPageBreak/>
              <w:t>数据盘</w:t>
            </w:r>
            <w:r>
              <w:t xml:space="preserve"> </w:t>
            </w:r>
            <w:r>
              <w:rPr>
                <w:rFonts w:hint="eastAsia"/>
              </w:rPr>
              <w:t>至少</w:t>
            </w:r>
            <w:r>
              <w:t>1T</w:t>
            </w:r>
          </w:p>
          <w:p w:rsidR="00E975E5" w:rsidRDefault="00E975E5">
            <w:pPr>
              <w:rPr>
                <w:kern w:val="2"/>
                <w:sz w:val="21"/>
                <w:szCs w:val="22"/>
              </w:rPr>
            </w:pPr>
            <w:r>
              <w:t xml:space="preserve">linux64 </w:t>
            </w:r>
            <w:r>
              <w:rPr>
                <w:rFonts w:hint="eastAsia"/>
              </w:rPr>
              <w:t>位</w:t>
            </w:r>
            <w:r>
              <w:t xml:space="preserve"> </w:t>
            </w:r>
            <w:r>
              <w:rPr>
                <w:rFonts w:hint="eastAsia"/>
              </w:rPr>
              <w:t>或</w:t>
            </w:r>
            <w:r>
              <w:t xml:space="preserve"> windows </w:t>
            </w:r>
            <w:r>
              <w:rPr>
                <w:rFonts w:hint="eastAsia"/>
              </w:rPr>
              <w:t>系统</w:t>
            </w:r>
            <w:r>
              <w:t xml:space="preserve"> </w:t>
            </w:r>
            <w:r>
              <w:rPr>
                <w:rFonts w:hint="eastAsia"/>
              </w:rPr>
              <w:t>预装</w:t>
            </w:r>
            <w:proofErr w:type="spellStart"/>
            <w:r>
              <w:t>Siton</w:t>
            </w:r>
            <w:proofErr w:type="spellEnd"/>
            <w:r>
              <w:rPr>
                <w:rFonts w:hint="eastAsia"/>
              </w:rPr>
              <w:t>并行编译环境；</w:t>
            </w:r>
            <w:proofErr w:type="spellStart"/>
            <w:r>
              <w:t>cuda</w:t>
            </w:r>
            <w:proofErr w:type="spellEnd"/>
            <w:r>
              <w:rPr>
                <w:rFonts w:hint="eastAsia"/>
              </w:rPr>
              <w:t>程序环境，</w:t>
            </w:r>
            <w:r>
              <w:t>GNU C/C++</w:t>
            </w:r>
            <w:r>
              <w:rPr>
                <w:rFonts w:hint="eastAsia"/>
              </w:rPr>
              <w:t>编译器；</w:t>
            </w:r>
            <w:r>
              <w:t>GUN Fortran77/90</w:t>
            </w:r>
            <w:r>
              <w:rPr>
                <w:rFonts w:hint="eastAsia"/>
              </w:rPr>
              <w:t>编译器；高性能计算函数库；</w:t>
            </w:r>
            <w:proofErr w:type="spellStart"/>
            <w:r>
              <w:t>cuBlascuFFT</w:t>
            </w:r>
            <w:proofErr w:type="spellEnd"/>
            <w:r>
              <w:rPr>
                <w:rFonts w:hint="eastAsia"/>
              </w:rPr>
              <w:t>；</w:t>
            </w:r>
            <w:proofErr w:type="spellStart"/>
            <w:r>
              <w:t>cuSparse</w:t>
            </w:r>
            <w:proofErr w:type="spellEnd"/>
            <w:r>
              <w:rPr>
                <w:rFonts w:hint="eastAsia"/>
              </w:rPr>
              <w:t>；</w:t>
            </w:r>
            <w:proofErr w:type="spellStart"/>
            <w:r>
              <w:t>cuRand</w:t>
            </w:r>
            <w:proofErr w:type="spellEnd"/>
            <w:r>
              <w:rPr>
                <w:rFonts w:hint="eastAsia"/>
              </w:rPr>
              <w:t>；</w:t>
            </w:r>
            <w:proofErr w:type="spellStart"/>
            <w:proofErr w:type="gramStart"/>
            <w:r>
              <w:t>npp;</w:t>
            </w:r>
            <w:proofErr w:type="gramEnd"/>
            <w:r>
              <w:t>OpenCL</w:t>
            </w:r>
            <w:proofErr w:type="spellEnd"/>
            <w:r>
              <w:t>. 1</w:t>
            </w:r>
            <w:r>
              <w:rPr>
                <w:rFonts w:hint="eastAsia"/>
              </w:rPr>
              <w:t>套</w:t>
            </w:r>
          </w:p>
        </w:tc>
      </w:tr>
    </w:tbl>
    <w:p w:rsidR="00E975E5" w:rsidRDefault="00E975E5" w:rsidP="00E975E5">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E975E5" w:rsidRDefault="00E975E5" w:rsidP="00E975E5">
      <w:pPr>
        <w:spacing w:line="440" w:lineRule="exact"/>
        <w:ind w:firstLine="405"/>
        <w:rPr>
          <w:rFonts w:ascii="宋体" w:hint="eastAsia"/>
          <w:color w:val="FF0000"/>
          <w:szCs w:val="21"/>
        </w:rPr>
      </w:pPr>
      <w:r>
        <w:rPr>
          <w:rFonts w:ascii="宋体" w:hint="eastAsia"/>
          <w:color w:val="FF0000"/>
          <w:szCs w:val="21"/>
        </w:rPr>
        <w:t>合同签订后</w:t>
      </w:r>
      <w:r>
        <w:rPr>
          <w:rFonts w:ascii="宋体" w:hint="eastAsia"/>
          <w:color w:val="FF0000"/>
          <w:szCs w:val="21"/>
          <w:u w:val="single"/>
        </w:rPr>
        <w:t>10</w:t>
      </w:r>
      <w:r>
        <w:rPr>
          <w:rFonts w:ascii="宋体" w:hint="eastAsia"/>
          <w:color w:val="FF0000"/>
          <w:szCs w:val="21"/>
        </w:rPr>
        <w:t>个日历日内交货，送至采购人指定地点。</w:t>
      </w:r>
    </w:p>
    <w:p w:rsidR="00E975E5" w:rsidRDefault="00E975E5" w:rsidP="00E975E5">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E975E5" w:rsidRDefault="00E975E5" w:rsidP="00E975E5">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w:t>
      </w:r>
      <w:r>
        <w:rPr>
          <w:rFonts w:hint="eastAsia"/>
          <w:color w:val="FF0000"/>
          <w:szCs w:val="21"/>
        </w:rPr>
        <w:t>的</w:t>
      </w:r>
      <w:r>
        <w:rPr>
          <w:color w:val="FF0000"/>
          <w:szCs w:val="21"/>
        </w:rPr>
        <w:t>60%</w:t>
      </w:r>
      <w:r>
        <w:rPr>
          <w:rFonts w:hint="eastAsia"/>
          <w:color w:val="FF0000"/>
          <w:szCs w:val="21"/>
        </w:rPr>
        <w:t>；</w:t>
      </w:r>
      <w:r>
        <w:rPr>
          <w:rFonts w:hint="eastAsia"/>
          <w:szCs w:val="21"/>
        </w:rPr>
        <w:t>第二期，货到验收合格，在中标人支付招标人</w:t>
      </w:r>
      <w:r>
        <w:rPr>
          <w:szCs w:val="21"/>
        </w:rPr>
        <w:t>5%</w:t>
      </w:r>
      <w:r>
        <w:rPr>
          <w:rFonts w:hint="eastAsia"/>
          <w:szCs w:val="21"/>
        </w:rPr>
        <w:t>的质保金后十个工作日内，招标人支付合同总额的</w:t>
      </w:r>
      <w:r>
        <w:rPr>
          <w:color w:val="FF0000"/>
          <w:szCs w:val="21"/>
        </w:rPr>
        <w:t>40%</w:t>
      </w:r>
      <w:r>
        <w:rPr>
          <w:rFonts w:hint="eastAsia"/>
          <w:szCs w:val="21"/>
        </w:rPr>
        <w:t>；第三期，正常运行一年后退还质保金；</w:t>
      </w:r>
    </w:p>
    <w:p w:rsidR="00E975E5" w:rsidRDefault="00E975E5" w:rsidP="00E975E5">
      <w:pPr>
        <w:spacing w:line="440" w:lineRule="exact"/>
        <w:ind w:firstLineChars="200" w:firstLine="420"/>
        <w:rPr>
          <w:szCs w:val="21"/>
        </w:rPr>
      </w:pPr>
      <w:r>
        <w:rPr>
          <w:szCs w:val="21"/>
        </w:rPr>
        <w:t>2.</w:t>
      </w:r>
      <w:r>
        <w:rPr>
          <w:rFonts w:hint="eastAsia"/>
          <w:szCs w:val="21"/>
        </w:rPr>
        <w:t>成交人需提供增值税专用发票。</w:t>
      </w:r>
    </w:p>
    <w:p w:rsidR="00E975E5" w:rsidRDefault="00E975E5" w:rsidP="00E975E5">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E975E5" w:rsidRDefault="00E975E5" w:rsidP="00E975E5">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E975E5" w:rsidTr="00E975E5">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E975E5" w:rsidRDefault="00E975E5">
            <w:pPr>
              <w:snapToGrid w:val="0"/>
              <w:ind w:leftChars="4" w:left="8"/>
              <w:jc w:val="center"/>
              <w:rPr>
                <w:rFonts w:ascii="宋体" w:hAnsi="宋体"/>
                <w:color w:val="FF0000"/>
                <w:szCs w:val="21"/>
              </w:rPr>
            </w:pPr>
            <w:r>
              <w:rPr>
                <w:rFonts w:ascii="宋体" w:hAnsi="宋体" w:hint="eastAsia"/>
                <w:color w:val="FF0000"/>
                <w:szCs w:val="21"/>
              </w:rPr>
              <w:t>服务要求</w:t>
            </w:r>
          </w:p>
        </w:tc>
      </w:tr>
      <w:tr w:rsidR="00E975E5" w:rsidTr="00E975E5">
        <w:tc>
          <w:tcPr>
            <w:tcW w:w="67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E975E5" w:rsidRDefault="00E975E5">
            <w:pPr>
              <w:rPr>
                <w:rFonts w:ascii="宋体" w:hAnsi="宋体" w:cs="黑体"/>
              </w:rPr>
            </w:pPr>
            <w:r>
              <w:rPr>
                <w:rFonts w:ascii="宋体" w:hAnsi="宋体" w:cs="黑体" w:hint="eastAsia"/>
              </w:rPr>
              <w:t>本次招标货物清单中所有产品要求提供3年免费保修、电话报修后12小时上门服务、24小时内排除故障、重大故障2天内解决，原厂工程师（及以上）提供服务；</w:t>
            </w:r>
          </w:p>
        </w:tc>
      </w:tr>
      <w:tr w:rsidR="00E975E5" w:rsidTr="00E975E5">
        <w:tc>
          <w:tcPr>
            <w:tcW w:w="67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E975E5" w:rsidRDefault="00E975E5">
            <w:r>
              <w:rPr>
                <w:rFonts w:hint="eastAsia"/>
              </w:rPr>
              <w:t>投标人承诺所有硬件</w:t>
            </w:r>
            <w:r>
              <w:rPr>
                <w:color w:val="FF0000"/>
              </w:rPr>
              <w:t>3</w:t>
            </w:r>
            <w:r>
              <w:rPr>
                <w:rFonts w:hint="eastAsia"/>
                <w:color w:val="FF0000"/>
              </w:rPr>
              <w:t>年</w:t>
            </w:r>
            <w:r>
              <w:rPr>
                <w:rFonts w:hint="eastAsia"/>
              </w:rPr>
              <w:t>免费保修、所有软件</w:t>
            </w:r>
            <w:r>
              <w:rPr>
                <w:color w:val="FF0000"/>
              </w:rPr>
              <w:t>1</w:t>
            </w:r>
            <w:r>
              <w:rPr>
                <w:rFonts w:hint="eastAsia"/>
                <w:color w:val="FF0000"/>
              </w:rPr>
              <w:t>年</w:t>
            </w:r>
            <w:r>
              <w:rPr>
                <w:rFonts w:hint="eastAsia"/>
              </w:rPr>
              <w:t>免费保修升级、</w:t>
            </w:r>
            <w:r>
              <w:rPr>
                <w:rFonts w:ascii="宋体" w:hAnsi="宋体" w:cs="宋体" w:hint="eastAsia"/>
              </w:rPr>
              <w:t>提供</w:t>
            </w:r>
            <w:r>
              <w:rPr>
                <w:rFonts w:ascii="宋体" w:hAnsi="宋体" w:cs="宋体" w:hint="eastAsia"/>
                <w:color w:val="FF0000"/>
              </w:rPr>
              <w:t xml:space="preserve"> 7×24</w:t>
            </w:r>
            <w:r>
              <w:rPr>
                <w:rFonts w:ascii="宋体" w:hAnsi="宋体" w:cs="宋体" w:hint="eastAsia"/>
              </w:rPr>
              <w:t xml:space="preserve"> 小时免费电话技术支持和 </w:t>
            </w:r>
            <w:r>
              <w:rPr>
                <w:rFonts w:ascii="宋体" w:hAnsi="宋体" w:cs="宋体" w:hint="eastAsia"/>
                <w:color w:val="FF0000"/>
              </w:rPr>
              <w:t>7×24</w:t>
            </w:r>
            <w:r>
              <w:rPr>
                <w:rFonts w:ascii="宋体" w:hAnsi="宋体" w:cs="宋体" w:hint="eastAsia"/>
              </w:rPr>
              <w:t>小时现场（人力+备件）以上服务级别的保修，</w:t>
            </w:r>
            <w:r>
              <w:rPr>
                <w:rFonts w:ascii="宋体" w:hAnsi="宋体" w:hint="eastAsia"/>
                <w:szCs w:val="21"/>
                <w:lang w:bidi="en-US"/>
              </w:rPr>
              <w:t>在故障</w:t>
            </w:r>
            <w:r>
              <w:rPr>
                <w:rFonts w:ascii="宋体" w:hAnsi="宋体" w:hint="eastAsia"/>
                <w:color w:val="FF0000"/>
                <w:szCs w:val="21"/>
                <w:lang w:bidi="en-US"/>
              </w:rPr>
              <w:t>2小时</w:t>
            </w:r>
            <w:r>
              <w:rPr>
                <w:rFonts w:ascii="宋体" w:hAnsi="宋体" w:hint="eastAsia"/>
                <w:szCs w:val="21"/>
                <w:lang w:bidi="en-US"/>
              </w:rPr>
              <w:t>内响应，</w:t>
            </w:r>
            <w:r>
              <w:rPr>
                <w:rFonts w:ascii="宋体" w:hAnsi="宋体" w:hint="eastAsia"/>
                <w:color w:val="FF0000"/>
                <w:szCs w:val="21"/>
                <w:lang w:bidi="en-US"/>
              </w:rPr>
              <w:t>6小时内</w:t>
            </w:r>
            <w:r>
              <w:rPr>
                <w:rFonts w:ascii="宋体" w:hAnsi="宋体" w:hint="eastAsia"/>
                <w:szCs w:val="21"/>
                <w:lang w:bidi="en-US"/>
              </w:rPr>
              <w:t>到达现场，配件</w:t>
            </w:r>
            <w:r>
              <w:rPr>
                <w:rFonts w:ascii="宋体" w:hAnsi="宋体" w:hint="eastAsia"/>
                <w:color w:val="FF0000"/>
                <w:szCs w:val="21"/>
                <w:lang w:bidi="en-US"/>
              </w:rPr>
              <w:t>24小时</w:t>
            </w:r>
            <w:r>
              <w:rPr>
                <w:rFonts w:ascii="宋体" w:hAnsi="宋体" w:hint="eastAsia"/>
                <w:szCs w:val="21"/>
                <w:lang w:bidi="en-US"/>
              </w:rPr>
              <w:t>内送达，</w:t>
            </w:r>
            <w:r>
              <w:rPr>
                <w:rFonts w:ascii="宋体" w:hAnsi="宋体" w:hint="eastAsia"/>
                <w:color w:val="FF0000"/>
                <w:szCs w:val="21"/>
                <w:lang w:bidi="en-US"/>
              </w:rPr>
              <w:t>48小时内</w:t>
            </w:r>
            <w:r>
              <w:rPr>
                <w:rFonts w:ascii="宋体" w:hAnsi="宋体" w:hint="eastAsia"/>
                <w:szCs w:val="21"/>
                <w:lang w:bidi="en-US"/>
              </w:rPr>
              <w:t xml:space="preserve">提供备机服务 </w:t>
            </w:r>
          </w:p>
        </w:tc>
      </w:tr>
      <w:tr w:rsidR="00E975E5" w:rsidTr="00E975E5">
        <w:tc>
          <w:tcPr>
            <w:tcW w:w="67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E975E5" w:rsidRDefault="00E975E5">
            <w:r>
              <w:rPr>
                <w:rFonts w:hint="eastAsia"/>
              </w:rPr>
              <w:t>本</w:t>
            </w:r>
            <w:proofErr w:type="gramStart"/>
            <w:r>
              <w:rPr>
                <w:rFonts w:hint="eastAsia"/>
              </w:rPr>
              <w:t>项目项目</w:t>
            </w:r>
            <w:proofErr w:type="gramEnd"/>
            <w:r>
              <w:rPr>
                <w:rFonts w:hint="eastAsia"/>
              </w:rPr>
              <w:t>经理</w:t>
            </w:r>
            <w:r>
              <w:t>1</w:t>
            </w:r>
            <w:r>
              <w:rPr>
                <w:rFonts w:hint="eastAsia"/>
              </w:rPr>
              <w:t>名；</w:t>
            </w:r>
          </w:p>
          <w:p w:rsidR="00E975E5" w:rsidRDefault="00E975E5">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E975E5" w:rsidTr="00E975E5">
        <w:tc>
          <w:tcPr>
            <w:tcW w:w="67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E975E5" w:rsidRDefault="00E975E5">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E975E5" w:rsidRDefault="00E975E5">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E975E5" w:rsidTr="00E975E5">
        <w:tc>
          <w:tcPr>
            <w:tcW w:w="67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pPr>
            <w:r>
              <w:rPr>
                <w:rFonts w:cs="宋体" w:hint="eastAsia"/>
                <w:szCs w:val="21"/>
              </w:rPr>
              <w:t>★</w:t>
            </w: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E975E5" w:rsidRDefault="00E975E5">
            <w:r>
              <w:rPr>
                <w:rFonts w:hint="eastAsia"/>
              </w:rPr>
              <w:t>投标人在项目运行地点须</w:t>
            </w:r>
            <w:r>
              <w:rPr>
                <w:rFonts w:cs="宋体" w:hint="eastAsia"/>
                <w:szCs w:val="21"/>
              </w:rPr>
              <w:t>有直属售后服务机构或分支机构的</w:t>
            </w:r>
            <w:r>
              <w:rPr>
                <w:rFonts w:hint="eastAsia"/>
              </w:rPr>
              <w:t>，且存</w:t>
            </w:r>
            <w:r>
              <w:rPr>
                <w:rFonts w:hint="eastAsia"/>
              </w:rPr>
              <w:lastRenderedPageBreak/>
              <w:t>在</w:t>
            </w:r>
            <w:r>
              <w:t>2</w:t>
            </w:r>
            <w:r>
              <w:rPr>
                <w:rFonts w:hint="eastAsia"/>
              </w:rPr>
              <w:t>年（含）以上，服务人员需有</w:t>
            </w:r>
            <w:r>
              <w:t>4</w:t>
            </w:r>
            <w:r>
              <w:rPr>
                <w:rFonts w:hint="eastAsia"/>
              </w:rPr>
              <w:t>人以上，每个服务人员至少在该网点工作</w:t>
            </w:r>
            <w:r>
              <w:t>3</w:t>
            </w:r>
            <w:r>
              <w:rPr>
                <w:rFonts w:hint="eastAsia"/>
              </w:rPr>
              <w:t>个月以上。</w:t>
            </w:r>
          </w:p>
          <w:p w:rsidR="00E975E5" w:rsidRDefault="00E975E5">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E975E5" w:rsidTr="00E975E5">
        <w:tc>
          <w:tcPr>
            <w:tcW w:w="67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spacing w:line="440" w:lineRule="exact"/>
              <w:jc w:val="center"/>
              <w:rPr>
                <w:szCs w:val="21"/>
              </w:rPr>
            </w:pPr>
            <w:r>
              <w:rPr>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E975E5" w:rsidRDefault="00E975E5">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E975E5" w:rsidTr="00E975E5">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E975E5" w:rsidRDefault="00E975E5">
            <w:pPr>
              <w:spacing w:line="440" w:lineRule="exact"/>
              <w:jc w:val="center"/>
              <w:rPr>
                <w:szCs w:val="21"/>
              </w:rPr>
            </w:pPr>
            <w:r>
              <w:rPr>
                <w:szCs w:val="21"/>
              </w:rPr>
              <w:t>7</w:t>
            </w:r>
            <w:bookmarkStart w:id="27" w:name="_GoBack"/>
            <w:bookmarkEnd w:id="27"/>
          </w:p>
        </w:tc>
        <w:tc>
          <w:tcPr>
            <w:tcW w:w="1561" w:type="dxa"/>
            <w:tcBorders>
              <w:top w:val="single" w:sz="4" w:space="0" w:color="auto"/>
              <w:left w:val="single" w:sz="4" w:space="0" w:color="auto"/>
              <w:bottom w:val="single" w:sz="4" w:space="0" w:color="auto"/>
              <w:right w:val="single" w:sz="4" w:space="0" w:color="auto"/>
            </w:tcBorders>
            <w:vAlign w:val="center"/>
            <w:hideMark/>
          </w:tcPr>
          <w:p w:rsidR="00E975E5" w:rsidRDefault="00E975E5">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E975E5" w:rsidRDefault="00E975E5">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E975E5" w:rsidRDefault="00E975E5" w:rsidP="00E975E5">
      <w:pPr>
        <w:pStyle w:val="2"/>
        <w:numPr>
          <w:ilvl w:val="1"/>
          <w:numId w:val="3"/>
        </w:numPr>
        <w:rPr>
          <w:rFonts w:cs="宋体" w:hint="eastAsia"/>
          <w:sz w:val="21"/>
          <w:szCs w:val="21"/>
        </w:rPr>
      </w:pPr>
      <w:bookmarkStart w:id="28" w:name="_Toc477248555"/>
      <w:bookmarkStart w:id="29"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8"/>
      <w:bookmarkEnd w:id="29"/>
    </w:p>
    <w:p w:rsidR="00E975E5" w:rsidRDefault="00E975E5" w:rsidP="00E975E5">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E975E5" w:rsidRDefault="00E975E5" w:rsidP="00E975E5">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E975E5" w:rsidRDefault="00E975E5" w:rsidP="00E975E5">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975E5" w:rsidRDefault="00E975E5" w:rsidP="00E975E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E975E5" w:rsidRDefault="00E975E5" w:rsidP="00E975E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E975E5" w:rsidRDefault="00E975E5" w:rsidP="00E975E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E975E5" w:rsidRDefault="00E975E5" w:rsidP="00E975E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E975E5" w:rsidRDefault="00E975E5" w:rsidP="00E975E5">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E975E5" w:rsidRDefault="00E975E5" w:rsidP="00E975E5">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E975E5" w:rsidRDefault="00E975E5" w:rsidP="00E975E5">
      <w:pPr>
        <w:pStyle w:val="2"/>
        <w:numPr>
          <w:ilvl w:val="1"/>
          <w:numId w:val="3"/>
        </w:numPr>
        <w:rPr>
          <w:rFonts w:hint="eastAsia"/>
          <w:sz w:val="21"/>
          <w:szCs w:val="21"/>
        </w:rPr>
      </w:pPr>
      <w:bookmarkStart w:id="30" w:name="_Toc477248556"/>
      <w:bookmarkStart w:id="31" w:name="_Toc461024576"/>
      <w:r>
        <w:rPr>
          <w:rFonts w:hint="eastAsia"/>
          <w:b w:val="0"/>
          <w:bCs w:val="0"/>
          <w:sz w:val="21"/>
          <w:szCs w:val="21"/>
        </w:rPr>
        <w:t>其他要求</w:t>
      </w:r>
      <w:bookmarkEnd w:id="30"/>
      <w:bookmarkEnd w:id="31"/>
    </w:p>
    <w:p w:rsidR="00E975E5" w:rsidRDefault="00E975E5" w:rsidP="00E975E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975E5" w:rsidRDefault="00E975E5" w:rsidP="00E975E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E975E5" w:rsidRDefault="00E975E5" w:rsidP="00E975E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lastRenderedPageBreak/>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E975E5" w:rsidRDefault="00E975E5" w:rsidP="00E975E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2"/>
      <w:bookmarkEnd w:id="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E975E5" w:rsidRDefault="00E975E5" w:rsidP="00E975E5">
      <w:pPr>
        <w:widowControl/>
        <w:jc w:val="left"/>
        <w:rPr>
          <w:rFonts w:ascii="宋体" w:hAnsi="宋体" w:hint="eastAsia"/>
          <w:b/>
          <w:bCs/>
          <w:spacing w:val="-20"/>
          <w:kern w:val="44"/>
          <w:sz w:val="32"/>
          <w:szCs w:val="32"/>
        </w:rPr>
      </w:pPr>
      <w:r>
        <w:br w:type="page"/>
      </w:r>
    </w:p>
    <w:p w:rsidR="00586DCE" w:rsidRPr="00E975E5" w:rsidRDefault="00586DCE" w:rsidP="00E975E5">
      <w:pPr>
        <w:rPr>
          <w:szCs w:val="24"/>
        </w:rPr>
      </w:pPr>
    </w:p>
    <w:sectPr w:rsidR="00586DCE" w:rsidRPr="00E975E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8A6" w:rsidRDefault="001708A6" w:rsidP="006718F6">
      <w:r>
        <w:separator/>
      </w:r>
    </w:p>
  </w:endnote>
  <w:endnote w:type="continuationSeparator" w:id="0">
    <w:p w:rsidR="001708A6" w:rsidRDefault="001708A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06015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E975E5" w:rsidRPr="00E975E5">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8A6" w:rsidRDefault="001708A6" w:rsidP="006718F6">
      <w:r>
        <w:separator/>
      </w:r>
    </w:p>
  </w:footnote>
  <w:footnote w:type="continuationSeparator" w:id="0">
    <w:p w:rsidR="001708A6" w:rsidRDefault="001708A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3E699B"/>
    <w:multiLevelType w:val="singleLevel"/>
    <w:tmpl w:val="593E699B"/>
    <w:lvl w:ilvl="0">
      <w:start w:val="1"/>
      <w:numFmt w:val="decimal"/>
      <w:suff w:val="nothing"/>
      <w:lvlText w:val="%1."/>
      <w:lvlJc w:val="left"/>
      <w:pPr>
        <w:ind w:left="0" w:firstLine="0"/>
      </w:pPr>
    </w:lvl>
  </w:abstractNum>
  <w:abstractNum w:abstractNumId="9">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8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517"/>
    <w:rsid w:val="001F2FCB"/>
    <w:rsid w:val="001F75D2"/>
    <w:rsid w:val="00201187"/>
    <w:rsid w:val="002034FF"/>
    <w:rsid w:val="00206B0D"/>
    <w:rsid w:val="002113C1"/>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CDB"/>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23E0C"/>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389</Words>
  <Characters>2218</Characters>
  <Application>Microsoft Office Word</Application>
  <DocSecurity>0</DocSecurity>
  <Lines>18</Lines>
  <Paragraphs>5</Paragraphs>
  <ScaleCrop>false</ScaleCrop>
  <Company>Microsoft</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35</cp:revision>
  <cp:lastPrinted>2017-05-09T09:20:00Z</cp:lastPrinted>
  <dcterms:created xsi:type="dcterms:W3CDTF">2017-06-08T09:05:00Z</dcterms:created>
  <dcterms:modified xsi:type="dcterms:W3CDTF">2017-06-26T02:44:00Z</dcterms:modified>
</cp:coreProperties>
</file>