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2A" w:rsidRPr="00EF49B6" w:rsidRDefault="0045672A" w:rsidP="0045672A">
      <w:pPr>
        <w:pStyle w:val="1"/>
      </w:pPr>
      <w:bookmarkStart w:id="0" w:name="_Toc453769806"/>
      <w:proofErr w:type="spellStart"/>
      <w:r w:rsidRPr="00EF49B6">
        <w:rPr>
          <w:rFonts w:hint="eastAsia"/>
        </w:rPr>
        <w:t>项目技术、商务及其他要求</w:t>
      </w:r>
      <w:bookmarkEnd w:id="0"/>
      <w:proofErr w:type="spellEnd"/>
    </w:p>
    <w:p w:rsidR="0045672A" w:rsidRPr="00EF49B6" w:rsidRDefault="0045672A" w:rsidP="0045672A">
      <w:pPr>
        <w:pStyle w:val="2"/>
        <w:spacing w:before="156" w:after="156"/>
      </w:pPr>
      <w:bookmarkStart w:id="1" w:name="_Toc453769807"/>
      <w:bookmarkStart w:id="2" w:name="_Toc321334066"/>
      <w:proofErr w:type="spellStart"/>
      <w:r w:rsidRPr="00EF49B6">
        <w:rPr>
          <w:rFonts w:hint="eastAsia"/>
        </w:rPr>
        <w:t>采购内容</w:t>
      </w:r>
      <w:bookmarkEnd w:id="1"/>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45672A" w:rsidRPr="00EF49B6" w:rsidTr="003704E9">
        <w:trPr>
          <w:trHeight w:val="397"/>
          <w:jc w:val="center"/>
        </w:trPr>
        <w:tc>
          <w:tcPr>
            <w:tcW w:w="726" w:type="dxa"/>
            <w:vAlign w:val="center"/>
          </w:tcPr>
          <w:p w:rsidR="0045672A" w:rsidRPr="00EF49B6" w:rsidRDefault="0045672A" w:rsidP="003704E9">
            <w:pPr>
              <w:jc w:val="center"/>
              <w:rPr>
                <w:rFonts w:ascii="宋体" w:hAnsi="宋体"/>
                <w:sz w:val="21"/>
                <w:szCs w:val="21"/>
              </w:rPr>
            </w:pPr>
            <w:r w:rsidRPr="00EF49B6">
              <w:rPr>
                <w:rFonts w:ascii="宋体" w:hAnsi="宋体" w:hint="eastAsia"/>
                <w:sz w:val="21"/>
                <w:szCs w:val="21"/>
              </w:rPr>
              <w:t>序号</w:t>
            </w:r>
          </w:p>
        </w:tc>
        <w:tc>
          <w:tcPr>
            <w:tcW w:w="2501" w:type="dxa"/>
            <w:vAlign w:val="center"/>
          </w:tcPr>
          <w:p w:rsidR="0045672A" w:rsidRPr="00EF49B6" w:rsidRDefault="0045672A" w:rsidP="003704E9">
            <w:pPr>
              <w:jc w:val="center"/>
              <w:rPr>
                <w:rFonts w:ascii="宋体" w:hAnsi="宋体"/>
                <w:sz w:val="21"/>
                <w:szCs w:val="21"/>
              </w:rPr>
            </w:pPr>
            <w:r w:rsidRPr="00EF49B6">
              <w:rPr>
                <w:rFonts w:ascii="宋体" w:hAnsi="宋体" w:hint="eastAsia"/>
                <w:sz w:val="21"/>
                <w:szCs w:val="21"/>
              </w:rPr>
              <w:t>设备名称</w:t>
            </w:r>
          </w:p>
        </w:tc>
        <w:tc>
          <w:tcPr>
            <w:tcW w:w="1134" w:type="dxa"/>
            <w:vAlign w:val="center"/>
          </w:tcPr>
          <w:p w:rsidR="0045672A" w:rsidRPr="00EF49B6" w:rsidRDefault="0045672A" w:rsidP="003704E9">
            <w:pPr>
              <w:jc w:val="center"/>
              <w:rPr>
                <w:rFonts w:ascii="宋体" w:hAnsi="宋体"/>
                <w:sz w:val="21"/>
                <w:szCs w:val="21"/>
              </w:rPr>
            </w:pPr>
            <w:r w:rsidRPr="00EF49B6">
              <w:rPr>
                <w:rFonts w:ascii="宋体" w:hAnsi="宋体" w:hint="eastAsia"/>
                <w:sz w:val="21"/>
                <w:szCs w:val="21"/>
              </w:rPr>
              <w:t>单位</w:t>
            </w:r>
          </w:p>
        </w:tc>
        <w:tc>
          <w:tcPr>
            <w:tcW w:w="1192" w:type="dxa"/>
            <w:vAlign w:val="center"/>
          </w:tcPr>
          <w:p w:rsidR="0045672A" w:rsidRPr="00EF49B6" w:rsidRDefault="0045672A" w:rsidP="003704E9">
            <w:pPr>
              <w:jc w:val="center"/>
              <w:rPr>
                <w:rFonts w:ascii="宋体" w:hAnsi="宋体"/>
                <w:sz w:val="21"/>
                <w:szCs w:val="21"/>
              </w:rPr>
            </w:pPr>
            <w:r w:rsidRPr="00EF49B6">
              <w:rPr>
                <w:rFonts w:ascii="宋体" w:hAnsi="宋体" w:hint="eastAsia"/>
                <w:sz w:val="21"/>
                <w:szCs w:val="21"/>
              </w:rPr>
              <w:t>数量</w:t>
            </w:r>
          </w:p>
        </w:tc>
      </w:tr>
      <w:tr w:rsidR="0045672A" w:rsidRPr="00EF49B6" w:rsidTr="003704E9">
        <w:trPr>
          <w:trHeight w:val="397"/>
          <w:jc w:val="center"/>
        </w:trPr>
        <w:tc>
          <w:tcPr>
            <w:tcW w:w="726" w:type="dxa"/>
            <w:vAlign w:val="center"/>
          </w:tcPr>
          <w:p w:rsidR="0045672A" w:rsidRPr="00EF49B6" w:rsidRDefault="0045672A" w:rsidP="003704E9">
            <w:pPr>
              <w:jc w:val="center"/>
              <w:rPr>
                <w:rFonts w:ascii="宋体" w:hAnsi="宋体"/>
                <w:sz w:val="21"/>
                <w:szCs w:val="21"/>
              </w:rPr>
            </w:pPr>
            <w:r w:rsidRPr="00EF49B6">
              <w:rPr>
                <w:rFonts w:ascii="宋体" w:hAnsi="宋体" w:hint="eastAsia"/>
                <w:sz w:val="21"/>
                <w:szCs w:val="21"/>
              </w:rPr>
              <w:t>1</w:t>
            </w:r>
          </w:p>
        </w:tc>
        <w:tc>
          <w:tcPr>
            <w:tcW w:w="2501" w:type="dxa"/>
            <w:vAlign w:val="center"/>
          </w:tcPr>
          <w:p w:rsidR="0045672A" w:rsidRPr="00EF49B6" w:rsidRDefault="0045672A" w:rsidP="003704E9">
            <w:pPr>
              <w:jc w:val="center"/>
              <w:rPr>
                <w:rFonts w:ascii="宋体" w:hAnsi="宋体"/>
                <w:sz w:val="21"/>
                <w:szCs w:val="21"/>
              </w:rPr>
            </w:pPr>
            <w:r w:rsidRPr="00EF49B6">
              <w:rPr>
                <w:rFonts w:hint="eastAsia"/>
                <w:sz w:val="20"/>
                <w:szCs w:val="20"/>
              </w:rPr>
              <w:t>频谱分析仪</w:t>
            </w:r>
          </w:p>
        </w:tc>
        <w:tc>
          <w:tcPr>
            <w:tcW w:w="1134" w:type="dxa"/>
            <w:vAlign w:val="center"/>
          </w:tcPr>
          <w:p w:rsidR="0045672A" w:rsidRPr="00EF49B6" w:rsidRDefault="0045672A" w:rsidP="003704E9">
            <w:pPr>
              <w:jc w:val="center"/>
              <w:rPr>
                <w:rFonts w:ascii="宋体" w:hAnsi="宋体"/>
                <w:sz w:val="21"/>
                <w:szCs w:val="21"/>
              </w:rPr>
            </w:pPr>
            <w:r w:rsidRPr="00EF49B6">
              <w:rPr>
                <w:rFonts w:ascii="宋体" w:hAnsi="宋体"/>
                <w:sz w:val="21"/>
                <w:szCs w:val="21"/>
              </w:rPr>
              <w:t>套</w:t>
            </w:r>
          </w:p>
        </w:tc>
        <w:tc>
          <w:tcPr>
            <w:tcW w:w="1192" w:type="dxa"/>
            <w:vAlign w:val="center"/>
          </w:tcPr>
          <w:p w:rsidR="0045672A" w:rsidRPr="00EF49B6" w:rsidRDefault="0045672A" w:rsidP="003704E9">
            <w:pPr>
              <w:jc w:val="center"/>
              <w:rPr>
                <w:rFonts w:ascii="宋体" w:hAnsi="宋体"/>
                <w:sz w:val="21"/>
                <w:szCs w:val="21"/>
              </w:rPr>
            </w:pPr>
            <w:r w:rsidRPr="00EF49B6">
              <w:rPr>
                <w:rFonts w:ascii="宋体" w:hAnsi="宋体" w:hint="eastAsia"/>
                <w:sz w:val="21"/>
                <w:szCs w:val="21"/>
              </w:rPr>
              <w:t>1</w:t>
            </w:r>
          </w:p>
        </w:tc>
      </w:tr>
    </w:tbl>
    <w:p w:rsidR="0045672A" w:rsidRPr="00EF49B6" w:rsidRDefault="0045672A" w:rsidP="0045672A">
      <w:pPr>
        <w:pStyle w:val="2"/>
        <w:spacing w:before="156" w:after="156"/>
        <w:rPr>
          <w:lang w:eastAsia="zh-CN"/>
        </w:rPr>
      </w:pPr>
      <w:bookmarkStart w:id="3" w:name="_Toc453769808"/>
      <w:proofErr w:type="spellStart"/>
      <w:r w:rsidRPr="00EF49B6">
        <w:rPr>
          <w:rFonts w:hint="eastAsia"/>
        </w:rPr>
        <w:t>技术</w:t>
      </w:r>
      <w:r w:rsidRPr="00EF49B6">
        <w:rPr>
          <w:rFonts w:hint="eastAsia"/>
          <w:lang w:eastAsia="zh-CN"/>
        </w:rPr>
        <w:t>参数及</w:t>
      </w:r>
      <w:r w:rsidRPr="00EF49B6">
        <w:rPr>
          <w:rFonts w:hint="eastAsia"/>
        </w:rPr>
        <w:t>要求</w:t>
      </w:r>
      <w:bookmarkEnd w:id="3"/>
      <w:proofErr w:type="spellEnd"/>
    </w:p>
    <w:tbl>
      <w:tblPr>
        <w:tblStyle w:val="a3"/>
        <w:tblW w:w="9180" w:type="dxa"/>
        <w:tblLayout w:type="fixed"/>
        <w:tblLook w:val="04A0"/>
      </w:tblPr>
      <w:tblGrid>
        <w:gridCol w:w="675"/>
        <w:gridCol w:w="993"/>
        <w:gridCol w:w="7512"/>
      </w:tblGrid>
      <w:tr w:rsidR="0045672A" w:rsidRPr="00EF49B6" w:rsidTr="003704E9">
        <w:tc>
          <w:tcPr>
            <w:tcW w:w="675" w:type="dxa"/>
            <w:vAlign w:val="center"/>
          </w:tcPr>
          <w:p w:rsidR="0045672A" w:rsidRPr="00EF49B6" w:rsidRDefault="0045672A" w:rsidP="003704E9">
            <w:pPr>
              <w:spacing w:beforeLines="50" w:afterLines="50"/>
              <w:jc w:val="center"/>
              <w:rPr>
                <w:b/>
                <w:sz w:val="21"/>
                <w:szCs w:val="21"/>
              </w:rPr>
            </w:pPr>
            <w:r w:rsidRPr="00EF49B6">
              <w:rPr>
                <w:rFonts w:hint="eastAsia"/>
                <w:b/>
                <w:sz w:val="21"/>
                <w:szCs w:val="21"/>
              </w:rPr>
              <w:t>序号</w:t>
            </w:r>
          </w:p>
        </w:tc>
        <w:tc>
          <w:tcPr>
            <w:tcW w:w="993" w:type="dxa"/>
            <w:vAlign w:val="center"/>
          </w:tcPr>
          <w:p w:rsidR="0045672A" w:rsidRPr="00EF49B6" w:rsidRDefault="0045672A" w:rsidP="003704E9">
            <w:pPr>
              <w:spacing w:beforeLines="50" w:afterLines="50"/>
              <w:jc w:val="center"/>
              <w:rPr>
                <w:b/>
                <w:sz w:val="21"/>
                <w:szCs w:val="21"/>
              </w:rPr>
            </w:pPr>
            <w:r w:rsidRPr="00EF49B6">
              <w:rPr>
                <w:rFonts w:hint="eastAsia"/>
                <w:b/>
                <w:sz w:val="21"/>
                <w:szCs w:val="21"/>
              </w:rPr>
              <w:t>名称</w:t>
            </w:r>
          </w:p>
        </w:tc>
        <w:tc>
          <w:tcPr>
            <w:tcW w:w="7512" w:type="dxa"/>
            <w:vAlign w:val="center"/>
          </w:tcPr>
          <w:p w:rsidR="0045672A" w:rsidRPr="00EF49B6" w:rsidRDefault="0045672A" w:rsidP="003704E9">
            <w:pPr>
              <w:spacing w:beforeLines="50" w:afterLines="50"/>
              <w:jc w:val="center"/>
              <w:rPr>
                <w:b/>
                <w:sz w:val="21"/>
                <w:szCs w:val="21"/>
              </w:rPr>
            </w:pPr>
            <w:r w:rsidRPr="00EF49B6">
              <w:rPr>
                <w:rFonts w:hint="eastAsia"/>
                <w:b/>
                <w:sz w:val="21"/>
                <w:szCs w:val="21"/>
              </w:rPr>
              <w:t>详细技术指标及功能需求</w:t>
            </w:r>
          </w:p>
        </w:tc>
      </w:tr>
      <w:tr w:rsidR="0045672A" w:rsidRPr="00EF49B6" w:rsidTr="003704E9">
        <w:tc>
          <w:tcPr>
            <w:tcW w:w="675" w:type="dxa"/>
            <w:vAlign w:val="center"/>
          </w:tcPr>
          <w:p w:rsidR="0045672A" w:rsidRPr="00EF49B6" w:rsidRDefault="0045672A" w:rsidP="003704E9">
            <w:pPr>
              <w:spacing w:beforeLines="50" w:afterLines="50"/>
              <w:jc w:val="center"/>
              <w:rPr>
                <w:b/>
                <w:sz w:val="21"/>
                <w:szCs w:val="21"/>
              </w:rPr>
            </w:pPr>
            <w:r w:rsidRPr="00EF49B6">
              <w:rPr>
                <w:rFonts w:hint="eastAsia"/>
                <w:b/>
                <w:sz w:val="21"/>
                <w:szCs w:val="21"/>
              </w:rPr>
              <w:t>1</w:t>
            </w:r>
          </w:p>
        </w:tc>
        <w:tc>
          <w:tcPr>
            <w:tcW w:w="993" w:type="dxa"/>
            <w:vAlign w:val="center"/>
          </w:tcPr>
          <w:p w:rsidR="0045672A" w:rsidRPr="00EF49B6" w:rsidRDefault="0045672A" w:rsidP="003704E9">
            <w:pPr>
              <w:jc w:val="center"/>
              <w:rPr>
                <w:sz w:val="21"/>
                <w:szCs w:val="21"/>
              </w:rPr>
            </w:pPr>
            <w:r w:rsidRPr="00EF49B6">
              <w:rPr>
                <w:rFonts w:hint="eastAsia"/>
                <w:sz w:val="21"/>
                <w:szCs w:val="21"/>
              </w:rPr>
              <w:t>频谱分析仪</w:t>
            </w:r>
          </w:p>
        </w:tc>
        <w:tc>
          <w:tcPr>
            <w:tcW w:w="7512" w:type="dxa"/>
            <w:vAlign w:val="center"/>
          </w:tcPr>
          <w:p w:rsidR="0045672A" w:rsidRPr="00EF49B6" w:rsidRDefault="0045672A" w:rsidP="003704E9">
            <w:pPr>
              <w:rPr>
                <w:rFonts w:ascii="宋体" w:hAnsi="宋体" w:cs="宋体"/>
                <w:sz w:val="21"/>
                <w:szCs w:val="21"/>
              </w:rPr>
            </w:pPr>
            <w:r w:rsidRPr="00EF49B6">
              <w:rPr>
                <w:rFonts w:ascii="宋体" w:hAnsi="宋体" w:cs="宋体" w:hint="eastAsia"/>
                <w:sz w:val="21"/>
                <w:szCs w:val="21"/>
              </w:rPr>
              <w:t>★必须为进口产品</w:t>
            </w:r>
          </w:p>
          <w:p w:rsidR="0045672A" w:rsidRPr="00EF49B6" w:rsidRDefault="0045672A" w:rsidP="003704E9">
            <w:pPr>
              <w:rPr>
                <w:rFonts w:ascii="新宋体-18030" w:eastAsia="新宋体-18030" w:hAnsi="新宋体-18030" w:cs="新宋体-18030"/>
                <w:sz w:val="21"/>
                <w:szCs w:val="21"/>
              </w:rPr>
            </w:pPr>
            <w:r w:rsidRPr="00EF49B6">
              <w:rPr>
                <w:rFonts w:ascii="宋体" w:hAnsi="宋体" w:cs="宋体" w:hint="eastAsia"/>
                <w:sz w:val="21"/>
                <w:szCs w:val="21"/>
              </w:rPr>
              <w:t>★</w:t>
            </w:r>
            <w:r w:rsidRPr="00EF49B6">
              <w:rPr>
                <w:rFonts w:ascii="新宋体-18030" w:eastAsia="新宋体-18030" w:hAnsi="新宋体-18030" w:cs="新宋体-18030" w:hint="eastAsia"/>
                <w:sz w:val="21"/>
                <w:szCs w:val="21"/>
              </w:rPr>
              <w:t>1.频率覆盖范围：≥26.5GHz；</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2.分辨率带宽：</w:t>
            </w:r>
            <w:r w:rsidRPr="00EF49B6">
              <w:rPr>
                <w:rFonts w:ascii="新宋体-18030" w:eastAsia="新宋体-18030" w:hAnsi="新宋体-18030" w:cs="新宋体-18030"/>
                <w:sz w:val="21"/>
                <w:szCs w:val="21"/>
              </w:rPr>
              <w:t>1Hz~8MHz</w:t>
            </w:r>
            <w:r w:rsidRPr="00EF49B6">
              <w:rPr>
                <w:rFonts w:ascii="新宋体-18030" w:eastAsia="新宋体-18030" w:hAnsi="新宋体-18030" w:cs="新宋体-18030" w:hint="eastAsia"/>
                <w:sz w:val="21"/>
                <w:szCs w:val="21"/>
              </w:rPr>
              <w:t>；</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3.</w:t>
            </w:r>
            <w:r w:rsidRPr="00EF49B6">
              <w:rPr>
                <w:rFonts w:ascii="新宋体-18030" w:eastAsia="新宋体-18030" w:hAnsi="新宋体-18030" w:cs="新宋体-18030"/>
                <w:sz w:val="21"/>
                <w:szCs w:val="21"/>
              </w:rPr>
              <w:t>TOI(1GHz)：</w:t>
            </w:r>
            <w:r w:rsidRPr="00EF49B6">
              <w:rPr>
                <w:rFonts w:ascii="新宋体-18030" w:eastAsia="新宋体-18030" w:hAnsi="新宋体-18030" w:cs="新宋体-18030" w:hint="eastAsia"/>
                <w:sz w:val="21"/>
                <w:szCs w:val="21"/>
              </w:rPr>
              <w:t>18dBm；</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4.频率参考老化率：</w:t>
            </w:r>
            <w:r w:rsidRPr="00EF49B6">
              <w:rPr>
                <w:rFonts w:ascii="新宋体-18030" w:eastAsia="新宋体-18030" w:hAnsi="新宋体-18030" w:cs="新宋体-18030"/>
                <w:sz w:val="21"/>
                <w:szCs w:val="21"/>
              </w:rPr>
              <w:t xml:space="preserve">1 </w:t>
            </w:r>
            <w:proofErr w:type="spellStart"/>
            <w:r w:rsidRPr="00EF49B6">
              <w:rPr>
                <w:rFonts w:ascii="新宋体-18030" w:eastAsia="新宋体-18030" w:hAnsi="新宋体-18030" w:cs="新宋体-18030"/>
                <w:sz w:val="21"/>
                <w:szCs w:val="21"/>
              </w:rPr>
              <w:t>ppm</w:t>
            </w:r>
            <w:proofErr w:type="spellEnd"/>
            <w:r w:rsidRPr="00EF49B6">
              <w:rPr>
                <w:rFonts w:ascii="新宋体-18030" w:eastAsia="新宋体-18030" w:hAnsi="新宋体-18030" w:cs="新宋体-18030"/>
                <w:sz w:val="21"/>
                <w:szCs w:val="21"/>
              </w:rPr>
              <w:t>/year</w:t>
            </w:r>
            <w:r w:rsidRPr="00EF49B6">
              <w:rPr>
                <w:rFonts w:ascii="新宋体-18030" w:eastAsia="新宋体-18030" w:hAnsi="新宋体-18030" w:cs="新宋体-18030" w:hint="eastAsia"/>
                <w:sz w:val="21"/>
                <w:szCs w:val="21"/>
              </w:rPr>
              <w:t>；</w:t>
            </w:r>
          </w:p>
          <w:p w:rsidR="0045672A" w:rsidRPr="00EF49B6" w:rsidRDefault="0045672A" w:rsidP="003704E9">
            <w:pPr>
              <w:rPr>
                <w:rFonts w:ascii="新宋体-18030" w:eastAsia="新宋体-18030" w:hAnsi="新宋体-18030" w:cs="新宋体-18030"/>
                <w:sz w:val="21"/>
                <w:szCs w:val="21"/>
              </w:rPr>
            </w:pPr>
            <w:r w:rsidRPr="00EF49B6">
              <w:rPr>
                <w:rFonts w:ascii="宋体" w:hAnsi="宋体" w:cs="宋体" w:hint="eastAsia"/>
                <w:sz w:val="21"/>
                <w:szCs w:val="21"/>
              </w:rPr>
              <w:t>★</w:t>
            </w:r>
            <w:r w:rsidRPr="00EF49B6">
              <w:rPr>
                <w:rFonts w:ascii="新宋体-18030" w:eastAsia="新宋体-18030" w:hAnsi="新宋体-18030" w:cs="新宋体-18030" w:hint="eastAsia"/>
                <w:sz w:val="21"/>
                <w:szCs w:val="21"/>
              </w:rPr>
              <w:t>5.分辨率带宽矩形系数：≤4.5:1；</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6.最大扫描点数38001；</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7.输入端口驻波比（&lt;25GHz，保证值）：1.9 ；</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8.总体幅度精度（</w:t>
            </w:r>
            <w:r w:rsidRPr="00EF49B6">
              <w:rPr>
                <w:rFonts w:ascii="新宋体-18030" w:eastAsia="新宋体-18030" w:hAnsi="新宋体-18030" w:cs="新宋体-18030"/>
                <w:sz w:val="21"/>
                <w:szCs w:val="21"/>
              </w:rPr>
              <w:t>95%</w:t>
            </w:r>
            <w:r w:rsidRPr="00EF49B6">
              <w:rPr>
                <w:rFonts w:ascii="新宋体-18030" w:eastAsia="新宋体-18030" w:hAnsi="新宋体-18030" w:cs="新宋体-18030" w:hint="eastAsia"/>
                <w:sz w:val="21"/>
                <w:szCs w:val="21"/>
              </w:rPr>
              <w:t>）：≤±0.27dB（</w:t>
            </w:r>
            <w:r w:rsidRPr="00EF49B6">
              <w:rPr>
                <w:rFonts w:ascii="新宋体-18030" w:eastAsia="新宋体-18030" w:hAnsi="新宋体-18030" w:cs="新宋体-18030"/>
                <w:sz w:val="21"/>
                <w:szCs w:val="21"/>
              </w:rPr>
              <w:t>9 kHz to 3.6 GH</w:t>
            </w:r>
            <w:r w:rsidRPr="00EF49B6">
              <w:rPr>
                <w:rFonts w:ascii="新宋体-18030" w:eastAsia="新宋体-18030" w:hAnsi="新宋体-18030" w:cs="新宋体-18030" w:hint="eastAsia"/>
                <w:sz w:val="21"/>
                <w:szCs w:val="21"/>
              </w:rPr>
              <w:t>z）；</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9.镜像响应（10MHz-10GHz)：&lt;–72dBc；</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10.底噪：1GHz时，低于-150dBm，4GHz时，低于-149dBm；</w:t>
            </w:r>
          </w:p>
          <w:p w:rsidR="0045672A" w:rsidRPr="00EF49B6" w:rsidRDefault="0045672A" w:rsidP="003704E9">
            <w:pPr>
              <w:rPr>
                <w:rFonts w:ascii="新宋体-18030" w:eastAsia="新宋体-18030" w:hAnsi="新宋体-18030" w:cs="新宋体-18030"/>
                <w:sz w:val="21"/>
                <w:szCs w:val="21"/>
              </w:rPr>
            </w:pPr>
            <w:r w:rsidRPr="00EF49B6">
              <w:rPr>
                <w:rFonts w:ascii="宋体" w:hAnsi="宋体" w:cs="宋体" w:hint="eastAsia"/>
                <w:sz w:val="21"/>
                <w:szCs w:val="21"/>
              </w:rPr>
              <w:t>★</w:t>
            </w:r>
            <w:r w:rsidRPr="00EF49B6">
              <w:rPr>
                <w:rFonts w:ascii="新宋体-18030" w:eastAsia="新宋体-18030" w:hAnsi="新宋体-18030" w:cs="新宋体-18030" w:hint="eastAsia"/>
                <w:sz w:val="21"/>
                <w:szCs w:val="21"/>
              </w:rPr>
              <w:t>11.</w:t>
            </w:r>
            <w:r w:rsidRPr="00EF49B6">
              <w:rPr>
                <w:rFonts w:hint="eastAsia"/>
                <w:sz w:val="21"/>
                <w:szCs w:val="21"/>
              </w:rPr>
              <w:t>相噪：</w:t>
            </w:r>
            <w:r w:rsidRPr="00EF49B6">
              <w:rPr>
                <w:rFonts w:ascii="新宋体-18030" w:eastAsia="新宋体-18030" w:hAnsi="新宋体-18030" w:cs="新宋体-18030" w:hint="eastAsia"/>
                <w:sz w:val="21"/>
                <w:szCs w:val="21"/>
              </w:rPr>
              <w:t>1GHz,10kHz频偏处≤-109dBc/Hz；1MHz频偏处≤-136dBc/Hz；</w:t>
            </w:r>
          </w:p>
          <w:p w:rsidR="0045672A" w:rsidRPr="00EF49B6" w:rsidRDefault="0045672A" w:rsidP="003704E9">
            <w:pPr>
              <w:rPr>
                <w:rFonts w:ascii="新宋体-18030" w:eastAsia="新宋体-18030" w:hAnsi="新宋体-18030" w:cs="新宋体-18030"/>
                <w:sz w:val="21"/>
                <w:szCs w:val="21"/>
              </w:rPr>
            </w:pPr>
            <w:r w:rsidRPr="00EF49B6">
              <w:rPr>
                <w:rFonts w:ascii="新宋体-18030" w:eastAsia="新宋体-18030" w:hAnsi="新宋体-18030" w:cs="新宋体-18030" w:hint="eastAsia"/>
                <w:sz w:val="21"/>
                <w:szCs w:val="21"/>
              </w:rPr>
              <w:t>12.仪器内部存储容量：≥40GB；</w:t>
            </w:r>
          </w:p>
          <w:p w:rsidR="0045672A" w:rsidRPr="00EF49B6" w:rsidRDefault="0045672A" w:rsidP="003704E9">
            <w:pPr>
              <w:rPr>
                <w:rFonts w:ascii="新宋体-18030" w:eastAsia="新宋体-18030" w:hAnsi="新宋体-18030" w:cs="新宋体-18030"/>
                <w:sz w:val="21"/>
                <w:szCs w:val="21"/>
              </w:rPr>
            </w:pPr>
            <w:r w:rsidRPr="00EF49B6">
              <w:rPr>
                <w:rFonts w:ascii="宋体" w:hAnsi="宋体" w:cs="宋体" w:hint="eastAsia"/>
                <w:sz w:val="21"/>
                <w:szCs w:val="21"/>
              </w:rPr>
              <w:t>★</w:t>
            </w:r>
            <w:r w:rsidRPr="00EF49B6">
              <w:rPr>
                <w:rFonts w:ascii="新宋体-18030" w:eastAsia="新宋体-18030" w:hAnsi="新宋体-18030" w:cs="新宋体-18030" w:hint="eastAsia"/>
                <w:sz w:val="21"/>
                <w:szCs w:val="21"/>
              </w:rPr>
              <w:t>13.具有电磁预兼容测试软件,满足 CISPR 和 MIL-STD要求，具有对天线、LISN、电缆和前置放大器执行幅度校正功能，根据监管机构的极限线标准自动执行测试,且支持用户选择的裕量，内置报告生成功能，配有脉冲限幅器、测试电缆和T型同轴连接器等测试附件。</w:t>
            </w:r>
          </w:p>
          <w:p w:rsidR="0045672A" w:rsidRPr="00EF49B6" w:rsidRDefault="0045672A" w:rsidP="003704E9">
            <w:pPr>
              <w:rPr>
                <w:sz w:val="21"/>
                <w:szCs w:val="21"/>
              </w:rPr>
            </w:pPr>
            <w:r w:rsidRPr="00EF49B6">
              <w:rPr>
                <w:rFonts w:ascii="新宋体-18030" w:eastAsia="新宋体-18030" w:hAnsi="新宋体-18030" w:cs="新宋体-18030" w:hint="eastAsia"/>
                <w:sz w:val="21"/>
                <w:szCs w:val="21"/>
              </w:rPr>
              <w:t>14.仪器显示：≥10英寸，1280x768分辨率多点触摸屏；</w:t>
            </w:r>
          </w:p>
        </w:tc>
      </w:tr>
    </w:tbl>
    <w:p w:rsidR="0045672A" w:rsidRPr="00EF49B6" w:rsidRDefault="0045672A" w:rsidP="0045672A">
      <w:pPr>
        <w:pStyle w:val="2"/>
        <w:spacing w:before="156" w:after="156"/>
      </w:pPr>
      <w:bookmarkStart w:id="4" w:name="_Toc453769809"/>
      <w:proofErr w:type="spellStart"/>
      <w:r w:rsidRPr="00EF49B6">
        <w:rPr>
          <w:rFonts w:hint="eastAsia"/>
        </w:rPr>
        <w:t>商务要求</w:t>
      </w:r>
      <w:bookmarkEnd w:id="4"/>
      <w:proofErr w:type="spellEnd"/>
    </w:p>
    <w:p w:rsidR="0045672A" w:rsidRPr="00EF49B6" w:rsidRDefault="0045672A" w:rsidP="0045672A">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EF49B6">
        <w:rPr>
          <w:rFonts w:hint="eastAsia"/>
          <w:color w:val="auto"/>
        </w:rPr>
        <w:t>交货时间</w:t>
      </w:r>
      <w:bookmarkEnd w:id="6"/>
      <w:r w:rsidRPr="00EF49B6">
        <w:rPr>
          <w:rFonts w:hint="eastAsia"/>
          <w:color w:val="auto"/>
          <w:lang w:eastAsia="zh-CN"/>
        </w:rPr>
        <w:t>及地点</w:t>
      </w:r>
      <w:proofErr w:type="spellEnd"/>
    </w:p>
    <w:p w:rsidR="0045672A" w:rsidRPr="00EF49B6" w:rsidRDefault="0045672A" w:rsidP="0045672A">
      <w:pPr>
        <w:adjustRightInd w:val="0"/>
        <w:snapToGrid w:val="0"/>
        <w:spacing w:line="480" w:lineRule="auto"/>
        <w:ind w:rightChars="88" w:right="211" w:firstLineChars="200" w:firstLine="420"/>
        <w:rPr>
          <w:rFonts w:ascii="宋体" w:hAnsi="宋体"/>
          <w:sz w:val="21"/>
          <w:szCs w:val="21"/>
        </w:rPr>
      </w:pPr>
      <w:r w:rsidRPr="00EF49B6">
        <w:rPr>
          <w:rFonts w:ascii="宋体" w:hAnsi="宋体" w:hint="eastAsia"/>
          <w:sz w:val="21"/>
          <w:szCs w:val="21"/>
        </w:rPr>
        <w:t>时间：开具信用证后45天内CIP成都。</w:t>
      </w:r>
    </w:p>
    <w:p w:rsidR="0045672A" w:rsidRPr="00EF49B6" w:rsidRDefault="0045672A" w:rsidP="0045672A">
      <w:pPr>
        <w:tabs>
          <w:tab w:val="left" w:pos="851"/>
        </w:tabs>
        <w:adjustRightInd w:val="0"/>
        <w:snapToGrid w:val="0"/>
        <w:spacing w:line="480" w:lineRule="auto"/>
        <w:ind w:rightChars="88" w:right="211" w:firstLineChars="200" w:firstLine="420"/>
        <w:rPr>
          <w:rFonts w:ascii="宋体" w:hAnsi="宋体"/>
          <w:sz w:val="21"/>
          <w:szCs w:val="21"/>
        </w:rPr>
      </w:pPr>
      <w:r w:rsidRPr="00EF49B6">
        <w:rPr>
          <w:rFonts w:ascii="宋体" w:hAnsi="宋体" w:hint="eastAsia"/>
          <w:sz w:val="21"/>
          <w:szCs w:val="21"/>
        </w:rPr>
        <w:t>地点：四川省成都市西南交通大学九里</w:t>
      </w:r>
      <w:r w:rsidRPr="00EF49B6">
        <w:rPr>
          <w:rFonts w:ascii="宋体" w:hAnsi="宋体"/>
          <w:sz w:val="21"/>
          <w:szCs w:val="21"/>
        </w:rPr>
        <w:t>校区用户指定实验室</w:t>
      </w:r>
      <w:r w:rsidRPr="00EF49B6">
        <w:rPr>
          <w:rFonts w:ascii="宋体" w:hAnsi="宋体" w:hint="eastAsia"/>
          <w:sz w:val="21"/>
          <w:szCs w:val="21"/>
        </w:rPr>
        <w:t>。</w:t>
      </w:r>
    </w:p>
    <w:p w:rsidR="0045672A" w:rsidRPr="00EF49B6" w:rsidRDefault="0045672A" w:rsidP="0045672A">
      <w:pPr>
        <w:pStyle w:val="3"/>
        <w:rPr>
          <w:color w:val="auto"/>
          <w:lang w:eastAsia="zh-CN"/>
        </w:rPr>
      </w:pPr>
      <w:bookmarkStart w:id="12" w:name="_Toc430269227"/>
      <w:bookmarkEnd w:id="7"/>
      <w:bookmarkEnd w:id="8"/>
      <w:proofErr w:type="spellStart"/>
      <w:r w:rsidRPr="00EF49B6">
        <w:rPr>
          <w:rFonts w:hint="eastAsia"/>
          <w:color w:val="auto"/>
        </w:rPr>
        <w:lastRenderedPageBreak/>
        <w:t>质量保证期限</w:t>
      </w:r>
      <w:bookmarkEnd w:id="12"/>
      <w:proofErr w:type="spellEnd"/>
    </w:p>
    <w:p w:rsidR="0045672A" w:rsidRPr="00EF49B6" w:rsidRDefault="0045672A" w:rsidP="0045672A">
      <w:pPr>
        <w:ind w:firstLineChars="150" w:firstLine="315"/>
        <w:rPr>
          <w:sz w:val="21"/>
          <w:szCs w:val="21"/>
          <w:lang/>
        </w:rPr>
      </w:pPr>
      <w:r w:rsidRPr="00EF49B6">
        <w:rPr>
          <w:rFonts w:ascii="宋体" w:hAnsi="宋体" w:hint="eastAsia"/>
          <w:bCs/>
          <w:sz w:val="21"/>
          <w:szCs w:val="21"/>
        </w:rPr>
        <w:t>免费质量保证期为自合同所列的货物安装调试验收合格签字确认之日起计算硬件不低于3年，软件免费升级不低于3年。</w:t>
      </w:r>
    </w:p>
    <w:p w:rsidR="0045672A" w:rsidRPr="00EF49B6" w:rsidRDefault="0045672A" w:rsidP="0045672A">
      <w:pPr>
        <w:pStyle w:val="3"/>
        <w:rPr>
          <w:color w:val="auto"/>
        </w:rPr>
      </w:pPr>
      <w:r w:rsidRPr="00EF49B6">
        <w:rPr>
          <w:rFonts w:hint="eastAsia"/>
          <w:color w:val="auto"/>
          <w:lang w:eastAsia="zh-CN"/>
        </w:rPr>
        <w:t>现场培训</w:t>
      </w:r>
    </w:p>
    <w:p w:rsidR="0045672A" w:rsidRPr="00EF49B6" w:rsidRDefault="0045672A" w:rsidP="0045672A">
      <w:pPr>
        <w:tabs>
          <w:tab w:val="left" w:pos="0"/>
        </w:tabs>
        <w:spacing w:line="440" w:lineRule="exact"/>
        <w:ind w:firstLineChars="192" w:firstLine="403"/>
        <w:rPr>
          <w:sz w:val="21"/>
          <w:szCs w:val="21"/>
        </w:rPr>
      </w:pPr>
      <w:bookmarkStart w:id="13" w:name="_Toc430269230"/>
      <w:r w:rsidRPr="00EF49B6">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EF49B6">
        <w:rPr>
          <w:rFonts w:hint="eastAsia"/>
          <w:sz w:val="21"/>
          <w:szCs w:val="21"/>
        </w:rPr>
        <w:t>2</w:t>
      </w:r>
      <w:r w:rsidRPr="00EF49B6">
        <w:rPr>
          <w:rFonts w:hint="eastAsia"/>
          <w:sz w:val="21"/>
          <w:szCs w:val="21"/>
        </w:rPr>
        <w:t>个工作日，一切费用</w:t>
      </w:r>
      <w:proofErr w:type="gramStart"/>
      <w:r w:rsidRPr="00EF49B6">
        <w:rPr>
          <w:rFonts w:hint="eastAsia"/>
          <w:sz w:val="21"/>
          <w:szCs w:val="21"/>
        </w:rPr>
        <w:t>由成交</w:t>
      </w:r>
      <w:proofErr w:type="gramEnd"/>
      <w:r w:rsidRPr="00EF49B6">
        <w:rPr>
          <w:rFonts w:hint="eastAsia"/>
          <w:sz w:val="21"/>
          <w:szCs w:val="21"/>
        </w:rPr>
        <w:t>供应商承担。</w:t>
      </w:r>
    </w:p>
    <w:p w:rsidR="0045672A" w:rsidRPr="00EF49B6" w:rsidRDefault="0045672A" w:rsidP="0045672A">
      <w:pPr>
        <w:pStyle w:val="3"/>
        <w:rPr>
          <w:color w:val="auto"/>
        </w:rPr>
      </w:pPr>
      <w:bookmarkStart w:id="14" w:name="_Toc430269229"/>
      <w:bookmarkStart w:id="15" w:name="_Toc430269232"/>
      <w:bookmarkEnd w:id="13"/>
      <w:proofErr w:type="spellStart"/>
      <w:r w:rsidRPr="00EF49B6">
        <w:rPr>
          <w:rFonts w:hint="eastAsia"/>
          <w:color w:val="auto"/>
        </w:rPr>
        <w:t>验收标准</w:t>
      </w:r>
      <w:bookmarkEnd w:id="14"/>
      <w:proofErr w:type="spellEnd"/>
    </w:p>
    <w:p w:rsidR="0045672A" w:rsidRPr="00EF49B6" w:rsidRDefault="0045672A" w:rsidP="0045672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货物到达现场后，供应商应在采购人在场情况下当面开包，共同清点、检查外观，</w:t>
      </w:r>
      <w:proofErr w:type="gramStart"/>
      <w:r w:rsidRPr="00EF49B6">
        <w:rPr>
          <w:rFonts w:ascii="宋体" w:hAnsi="宋体" w:hint="eastAsia"/>
          <w:sz w:val="21"/>
          <w:szCs w:val="21"/>
        </w:rPr>
        <w:t>作出</w:t>
      </w:r>
      <w:proofErr w:type="gramEnd"/>
      <w:r w:rsidRPr="00EF49B6">
        <w:rPr>
          <w:rFonts w:ascii="宋体" w:hAnsi="宋体" w:hint="eastAsia"/>
          <w:sz w:val="21"/>
          <w:szCs w:val="21"/>
        </w:rPr>
        <w:t>验货记录，双方签字确认后开始安装调试。</w:t>
      </w:r>
    </w:p>
    <w:p w:rsidR="0045672A" w:rsidRPr="00EF49B6" w:rsidRDefault="0045672A" w:rsidP="0045672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成交供应商应保证货物到达采购人所在地完好无损，如有缺漏、损坏，由供应商负责调换、补齐或赔偿。</w:t>
      </w:r>
    </w:p>
    <w:p w:rsidR="0045672A" w:rsidRPr="00EF49B6" w:rsidRDefault="0045672A" w:rsidP="0045672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45672A" w:rsidRPr="00EF49B6" w:rsidRDefault="0045672A" w:rsidP="0045672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产品技术参数与采购合同一致，性能指标达到规定的标准；</w:t>
      </w:r>
    </w:p>
    <w:p w:rsidR="0045672A" w:rsidRPr="00EF49B6" w:rsidRDefault="0045672A" w:rsidP="0045672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产品技术资料、装箱单、授权文件等资料齐全；</w:t>
      </w:r>
    </w:p>
    <w:p w:rsidR="0045672A" w:rsidRPr="00EF49B6" w:rsidRDefault="0045672A" w:rsidP="0045672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在</w:t>
      </w:r>
      <w:r w:rsidRPr="00EF49B6">
        <w:rPr>
          <w:rFonts w:ascii="宋体" w:hAnsi="宋体" w:hint="eastAsia"/>
          <w:szCs w:val="21"/>
        </w:rPr>
        <w:t>产品（</w:t>
      </w:r>
      <w:r w:rsidRPr="00EF49B6">
        <w:rPr>
          <w:rFonts w:ascii="宋体" w:hAnsi="宋体" w:hint="eastAsia"/>
          <w:sz w:val="21"/>
          <w:szCs w:val="21"/>
        </w:rPr>
        <w:t>系统</w:t>
      </w:r>
      <w:r w:rsidRPr="00EF49B6">
        <w:rPr>
          <w:rFonts w:ascii="宋体" w:hAnsi="宋体" w:hint="eastAsia"/>
          <w:szCs w:val="21"/>
        </w:rPr>
        <w:t>）</w:t>
      </w:r>
      <w:r w:rsidRPr="00EF49B6">
        <w:rPr>
          <w:rFonts w:ascii="宋体" w:hAnsi="宋体" w:hint="eastAsia"/>
          <w:sz w:val="21"/>
          <w:szCs w:val="21"/>
        </w:rPr>
        <w:t>试运行期间所出现的问题得到解决，并运行正常；</w:t>
      </w:r>
    </w:p>
    <w:p w:rsidR="0045672A" w:rsidRPr="00EF49B6" w:rsidRDefault="0045672A" w:rsidP="0045672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在规定时间内完成交货并验收，并经采购人确认。</w:t>
      </w:r>
    </w:p>
    <w:p w:rsidR="0045672A" w:rsidRPr="00EF49B6" w:rsidRDefault="0045672A" w:rsidP="0045672A">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EF49B6">
        <w:rPr>
          <w:rFonts w:ascii="宋体" w:hAnsi="宋体" w:hint="eastAsia"/>
          <w:sz w:val="21"/>
          <w:szCs w:val="21"/>
        </w:rPr>
        <w:t>产品在部署调试并试运行符合要求后，才作为最终验收。</w:t>
      </w:r>
    </w:p>
    <w:p w:rsidR="0045672A" w:rsidRPr="00EF49B6" w:rsidRDefault="0045672A" w:rsidP="0045672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F49B6">
        <w:rPr>
          <w:rFonts w:ascii="宋体" w:hAnsi="宋体" w:hint="eastAsia"/>
          <w:sz w:val="21"/>
          <w:szCs w:val="21"/>
        </w:rPr>
        <w:t>采购人对供应商交付的产品（包括质量、技术参数等）进行确认，并出具书面验收意见。</w:t>
      </w:r>
    </w:p>
    <w:p w:rsidR="0045672A" w:rsidRPr="00EF49B6" w:rsidRDefault="0045672A" w:rsidP="0045672A">
      <w:pPr>
        <w:pStyle w:val="3"/>
        <w:rPr>
          <w:color w:val="auto"/>
        </w:rPr>
      </w:pPr>
      <w:proofErr w:type="spellStart"/>
      <w:r w:rsidRPr="00EF49B6">
        <w:rPr>
          <w:rFonts w:hint="eastAsia"/>
          <w:color w:val="auto"/>
        </w:rPr>
        <w:t>付款方式</w:t>
      </w:r>
      <w:bookmarkEnd w:id="15"/>
      <w:proofErr w:type="spellEnd"/>
    </w:p>
    <w:p w:rsidR="0045672A" w:rsidRPr="00EF49B6" w:rsidRDefault="0045672A" w:rsidP="0045672A">
      <w:pPr>
        <w:spacing w:line="440" w:lineRule="exact"/>
        <w:ind w:firstLineChars="200" w:firstLine="420"/>
        <w:rPr>
          <w:sz w:val="21"/>
          <w:szCs w:val="21"/>
        </w:rPr>
      </w:pPr>
      <w:bookmarkStart w:id="16" w:name="_Toc430269233"/>
      <w:r w:rsidRPr="00EF49B6">
        <w:rPr>
          <w:sz w:val="21"/>
          <w:szCs w:val="21"/>
        </w:rPr>
        <w:t>采用信用证</w:t>
      </w:r>
      <w:r w:rsidRPr="00EF49B6">
        <w:rPr>
          <w:sz w:val="21"/>
          <w:szCs w:val="21"/>
        </w:rPr>
        <w:t>L</w:t>
      </w:r>
      <w:r w:rsidRPr="00EF49B6">
        <w:rPr>
          <w:rFonts w:hint="eastAsia"/>
          <w:sz w:val="21"/>
          <w:szCs w:val="21"/>
        </w:rPr>
        <w:t>/</w:t>
      </w:r>
      <w:r w:rsidRPr="00EF49B6">
        <w:rPr>
          <w:sz w:val="21"/>
          <w:szCs w:val="21"/>
        </w:rPr>
        <w:t>C</w:t>
      </w:r>
      <w:r w:rsidRPr="00EF49B6">
        <w:rPr>
          <w:sz w:val="21"/>
          <w:szCs w:val="21"/>
        </w:rPr>
        <w:t>方式支付，不迟于装运前</w:t>
      </w:r>
      <w:r w:rsidRPr="00EF49B6">
        <w:rPr>
          <w:rFonts w:hint="eastAsia"/>
          <w:sz w:val="21"/>
          <w:szCs w:val="21"/>
        </w:rPr>
        <w:t>30</w:t>
      </w:r>
      <w:r w:rsidRPr="00EF49B6">
        <w:rPr>
          <w:sz w:val="21"/>
          <w:szCs w:val="21"/>
        </w:rPr>
        <w:t>天开具以卖方为受益人</w:t>
      </w:r>
      <w:r w:rsidRPr="00EF49B6">
        <w:rPr>
          <w:rFonts w:hint="eastAsia"/>
          <w:sz w:val="21"/>
          <w:szCs w:val="21"/>
        </w:rPr>
        <w:t>、</w:t>
      </w:r>
      <w:r w:rsidRPr="00EF49B6">
        <w:rPr>
          <w:sz w:val="21"/>
          <w:szCs w:val="21"/>
        </w:rPr>
        <w:t>金额为装运货物全额的不可撤销信用证。凭运单收取</w:t>
      </w:r>
      <w:r w:rsidRPr="00EF49B6">
        <w:rPr>
          <w:sz w:val="21"/>
          <w:szCs w:val="21"/>
        </w:rPr>
        <w:t>90%</w:t>
      </w:r>
      <w:r w:rsidRPr="00EF49B6">
        <w:rPr>
          <w:rFonts w:hint="eastAsia"/>
          <w:sz w:val="21"/>
          <w:szCs w:val="21"/>
        </w:rPr>
        <w:t>，</w:t>
      </w:r>
      <w:r w:rsidRPr="00EF49B6">
        <w:rPr>
          <w:sz w:val="21"/>
          <w:szCs w:val="21"/>
        </w:rPr>
        <w:t>余款凭</w:t>
      </w:r>
      <w:r w:rsidRPr="00EF49B6">
        <w:rPr>
          <w:rFonts w:hint="eastAsia"/>
          <w:sz w:val="21"/>
          <w:szCs w:val="21"/>
        </w:rPr>
        <w:t>甲方</w:t>
      </w:r>
      <w:r w:rsidRPr="00EF49B6">
        <w:rPr>
          <w:sz w:val="21"/>
          <w:szCs w:val="21"/>
        </w:rPr>
        <w:t>签字</w:t>
      </w:r>
      <w:r w:rsidRPr="00EF49B6">
        <w:rPr>
          <w:rFonts w:hint="eastAsia"/>
          <w:sz w:val="21"/>
          <w:szCs w:val="21"/>
        </w:rPr>
        <w:t>盖章</w:t>
      </w:r>
      <w:r w:rsidRPr="00EF49B6">
        <w:rPr>
          <w:sz w:val="21"/>
          <w:szCs w:val="21"/>
        </w:rPr>
        <w:t>的验收报告收取</w:t>
      </w:r>
      <w:r w:rsidRPr="00EF49B6">
        <w:rPr>
          <w:rFonts w:hint="eastAsia"/>
          <w:sz w:val="21"/>
          <w:szCs w:val="21"/>
        </w:rPr>
        <w:t>。</w:t>
      </w:r>
    </w:p>
    <w:p w:rsidR="0045672A" w:rsidRPr="00EF49B6" w:rsidRDefault="0045672A" w:rsidP="0045672A">
      <w:pPr>
        <w:pStyle w:val="3"/>
        <w:rPr>
          <w:color w:val="auto"/>
          <w:lang w:eastAsia="zh-CN"/>
        </w:rPr>
      </w:pPr>
      <w:proofErr w:type="spellStart"/>
      <w:r w:rsidRPr="00EF49B6">
        <w:rPr>
          <w:rFonts w:hint="eastAsia"/>
          <w:color w:val="auto"/>
        </w:rPr>
        <w:t>最高限价</w:t>
      </w:r>
      <w:bookmarkEnd w:id="16"/>
      <w:proofErr w:type="spellEnd"/>
    </w:p>
    <w:p w:rsidR="0045672A" w:rsidRPr="00EF49B6" w:rsidRDefault="0045672A" w:rsidP="0045672A">
      <w:pPr>
        <w:ind w:firstLineChars="200" w:firstLine="422"/>
        <w:rPr>
          <w:rFonts w:ascii="宋体" w:hAnsi="宋体"/>
          <w:b/>
          <w:sz w:val="21"/>
          <w:szCs w:val="21"/>
        </w:rPr>
      </w:pPr>
      <w:r w:rsidRPr="00EF49B6">
        <w:rPr>
          <w:rFonts w:ascii="宋体" w:hAnsi="宋体" w:hint="eastAsia"/>
          <w:b/>
          <w:sz w:val="21"/>
          <w:szCs w:val="21"/>
        </w:rPr>
        <w:t>★本项目最高限价为人民币</w:t>
      </w:r>
      <w:r w:rsidRPr="00EF49B6">
        <w:rPr>
          <w:rFonts w:ascii="宋体" w:hAnsi="宋体" w:hint="eastAsia"/>
          <w:b/>
          <w:sz w:val="21"/>
          <w:szCs w:val="21"/>
          <w:u w:val="single"/>
        </w:rPr>
        <w:t>26</w:t>
      </w:r>
      <w:r w:rsidRPr="00EF49B6">
        <w:rPr>
          <w:rFonts w:ascii="宋体" w:hAnsi="宋体" w:hint="eastAsia"/>
          <w:b/>
          <w:sz w:val="21"/>
          <w:szCs w:val="21"/>
        </w:rPr>
        <w:t>万元，供应商报价（</w:t>
      </w:r>
      <w:r w:rsidRPr="00EF49B6">
        <w:rPr>
          <w:rFonts w:ascii="宋体" w:hAnsi="宋体" w:hint="eastAsia"/>
          <w:sz w:val="21"/>
          <w:szCs w:val="21"/>
        </w:rPr>
        <w:t>外币</w:t>
      </w:r>
      <w:r w:rsidRPr="00EF49B6">
        <w:rPr>
          <w:rFonts w:hint="eastAsia"/>
          <w:sz w:val="21"/>
          <w:szCs w:val="21"/>
        </w:rPr>
        <w:t>报价</w:t>
      </w:r>
      <w:r w:rsidRPr="00EF49B6">
        <w:rPr>
          <w:rFonts w:hint="eastAsia"/>
          <w:sz w:val="21"/>
          <w:szCs w:val="21"/>
        </w:rPr>
        <w:t>*</w:t>
      </w:r>
      <w:r w:rsidRPr="00EF49B6">
        <w:rPr>
          <w:rFonts w:hint="eastAsia"/>
          <w:sz w:val="21"/>
          <w:szCs w:val="21"/>
        </w:rPr>
        <w:t>中国外汇交易中心公布的当日人民币汇率中间价</w:t>
      </w:r>
      <w:r w:rsidRPr="00EF49B6">
        <w:rPr>
          <w:rFonts w:hint="eastAsia"/>
          <w:sz w:val="21"/>
          <w:szCs w:val="21"/>
        </w:rPr>
        <w:t>*1.03</w:t>
      </w:r>
      <w:r w:rsidRPr="00EF49B6">
        <w:rPr>
          <w:rFonts w:ascii="宋体" w:hAnsi="宋体" w:hint="eastAsia"/>
          <w:sz w:val="21"/>
          <w:szCs w:val="21"/>
        </w:rPr>
        <w:t>）</w:t>
      </w:r>
      <w:r w:rsidRPr="00EF49B6">
        <w:rPr>
          <w:rFonts w:ascii="宋体" w:hAnsi="宋体" w:hint="eastAsia"/>
          <w:b/>
          <w:sz w:val="21"/>
          <w:szCs w:val="21"/>
        </w:rPr>
        <w:t>高于最高限价的则其响应文件将按无效响应文件处理。</w:t>
      </w:r>
    </w:p>
    <w:p w:rsidR="0045672A" w:rsidRPr="00EF49B6" w:rsidRDefault="0045672A" w:rsidP="0045672A">
      <w:pPr>
        <w:pStyle w:val="2"/>
        <w:spacing w:before="156" w:after="156"/>
      </w:pPr>
      <w:bookmarkStart w:id="17" w:name="_Toc453769810"/>
      <w:proofErr w:type="spellStart"/>
      <w:r w:rsidRPr="00EF49B6">
        <w:rPr>
          <w:rFonts w:hint="eastAsia"/>
        </w:rPr>
        <w:t>其他要求</w:t>
      </w:r>
      <w:bookmarkEnd w:id="9"/>
      <w:bookmarkEnd w:id="17"/>
      <w:proofErr w:type="spellEnd"/>
    </w:p>
    <w:p w:rsidR="0045672A" w:rsidRPr="00EF49B6" w:rsidRDefault="0045672A" w:rsidP="0045672A">
      <w:pPr>
        <w:widowControl w:val="0"/>
        <w:numPr>
          <w:ilvl w:val="0"/>
          <w:numId w:val="4"/>
        </w:numPr>
        <w:tabs>
          <w:tab w:val="left" w:pos="1134"/>
        </w:tabs>
        <w:spacing w:line="360" w:lineRule="auto"/>
        <w:ind w:left="0" w:firstLine="567"/>
        <w:jc w:val="both"/>
        <w:rPr>
          <w:rFonts w:ascii="宋体" w:hAnsi="宋体"/>
          <w:sz w:val="21"/>
          <w:szCs w:val="21"/>
        </w:rPr>
      </w:pPr>
      <w:r w:rsidRPr="00EF49B6">
        <w:rPr>
          <w:rFonts w:ascii="宋体" w:hAnsi="宋体" w:hint="eastAsia"/>
          <w:sz w:val="21"/>
          <w:szCs w:val="21"/>
        </w:rPr>
        <w:t>供应商应保证在本项目使用的任何产品和服务（包括部分使用）时，不会产生</w:t>
      </w:r>
      <w:r w:rsidRPr="00EF49B6">
        <w:rPr>
          <w:rFonts w:ascii="宋体" w:hAnsi="宋体" w:hint="eastAsia"/>
          <w:sz w:val="21"/>
          <w:szCs w:val="21"/>
        </w:rPr>
        <w:lastRenderedPageBreak/>
        <w:t>因第三方提出侵犯其专利权、商标权或其它知识产权而引起的法律和经济纠纷，如因专利权、商标权或其它知识产权而引起法律和经济纠纷，由供应商承担所有相关责任。</w:t>
      </w:r>
    </w:p>
    <w:p w:rsidR="0045672A" w:rsidRPr="00EF49B6" w:rsidRDefault="0045672A" w:rsidP="0045672A">
      <w:pPr>
        <w:widowControl w:val="0"/>
        <w:numPr>
          <w:ilvl w:val="0"/>
          <w:numId w:val="4"/>
        </w:numPr>
        <w:tabs>
          <w:tab w:val="left" w:pos="1134"/>
        </w:tabs>
        <w:spacing w:line="360" w:lineRule="auto"/>
        <w:ind w:left="0" w:firstLine="567"/>
        <w:jc w:val="both"/>
        <w:rPr>
          <w:rFonts w:ascii="宋体" w:hAnsi="宋体"/>
          <w:sz w:val="21"/>
          <w:szCs w:val="21"/>
        </w:rPr>
      </w:pPr>
      <w:r w:rsidRPr="00EF49B6">
        <w:rPr>
          <w:rFonts w:ascii="宋体" w:hAnsi="宋体" w:hint="eastAsia"/>
          <w:sz w:val="21"/>
          <w:szCs w:val="21"/>
        </w:rPr>
        <w:t>采购人享有本项目实施过程中产生的知识成果及知识产权。</w:t>
      </w:r>
    </w:p>
    <w:p w:rsidR="0045672A" w:rsidRPr="00EF49B6" w:rsidRDefault="0045672A" w:rsidP="0045672A">
      <w:pPr>
        <w:widowControl w:val="0"/>
        <w:numPr>
          <w:ilvl w:val="0"/>
          <w:numId w:val="4"/>
        </w:numPr>
        <w:tabs>
          <w:tab w:val="left" w:pos="1134"/>
        </w:tabs>
        <w:spacing w:line="360" w:lineRule="auto"/>
        <w:ind w:left="0" w:firstLine="567"/>
        <w:jc w:val="both"/>
        <w:rPr>
          <w:rFonts w:ascii="宋体" w:hAnsi="宋体"/>
          <w:sz w:val="21"/>
          <w:szCs w:val="21"/>
        </w:rPr>
      </w:pPr>
      <w:r w:rsidRPr="00EF49B6">
        <w:rPr>
          <w:rFonts w:ascii="宋体" w:hAnsi="宋体" w:hint="eastAsia"/>
          <w:sz w:val="21"/>
          <w:szCs w:val="21"/>
        </w:rPr>
        <w:t>供应商如欲在项目实施过程中采用自有知识成果，需在响应文件中声明，并提供相关知识产权证明文件。使用</w:t>
      </w:r>
      <w:proofErr w:type="gramStart"/>
      <w:r w:rsidRPr="00EF49B6">
        <w:rPr>
          <w:rFonts w:ascii="宋体" w:hAnsi="宋体" w:hint="eastAsia"/>
          <w:sz w:val="21"/>
          <w:szCs w:val="21"/>
        </w:rPr>
        <w:t>该知识</w:t>
      </w:r>
      <w:proofErr w:type="gramEnd"/>
      <w:r w:rsidRPr="00EF49B6">
        <w:rPr>
          <w:rFonts w:ascii="宋体" w:hAnsi="宋体" w:hint="eastAsia"/>
          <w:sz w:val="21"/>
          <w:szCs w:val="21"/>
        </w:rPr>
        <w:t>成果后，供应商需提供开发接口和开发手册等技术文档，并承诺提供无限期技术支持，采购人享有永久使用权。</w:t>
      </w:r>
    </w:p>
    <w:p w:rsidR="0045672A" w:rsidRPr="00EF49B6" w:rsidRDefault="0045672A" w:rsidP="0045672A">
      <w:pPr>
        <w:widowControl w:val="0"/>
        <w:numPr>
          <w:ilvl w:val="0"/>
          <w:numId w:val="4"/>
        </w:numPr>
        <w:tabs>
          <w:tab w:val="left" w:pos="1134"/>
        </w:tabs>
        <w:spacing w:line="360" w:lineRule="auto"/>
        <w:ind w:left="0" w:firstLine="567"/>
        <w:jc w:val="both"/>
        <w:rPr>
          <w:rFonts w:ascii="宋体" w:hAnsi="宋体"/>
          <w:sz w:val="21"/>
          <w:szCs w:val="21"/>
        </w:rPr>
      </w:pPr>
      <w:r w:rsidRPr="00EF49B6">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45672A" w:rsidRDefault="00C62726"/>
    <w:sectPr w:rsidR="00C62726" w:rsidRPr="0045672A"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4BE2B5EC"/>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72A"/>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672A"/>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2A"/>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45672A"/>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45672A"/>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45672A"/>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45672A"/>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45672A"/>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5672A"/>
    <w:rPr>
      <w:rFonts w:ascii="宋体" w:eastAsia="宋体" w:hAnsi="宋体" w:cs="Times New Roman"/>
      <w:b/>
      <w:bCs/>
      <w:color w:val="000000"/>
      <w:szCs w:val="21"/>
      <w:lang/>
    </w:rPr>
  </w:style>
  <w:style w:type="table" w:styleId="a3">
    <w:name w:val="Table Grid"/>
    <w:basedOn w:val="a1"/>
    <w:uiPriority w:val="59"/>
    <w:qFormat/>
    <w:rsid w:val="0045672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2016-06-15T08:31:00Z</dcterms:created>
  <dcterms:modified xsi:type="dcterms:W3CDTF">2016-06-15T08:32:00Z</dcterms:modified>
</cp:coreProperties>
</file>