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A0" w:rsidRDefault="00C056A0" w:rsidP="00C056A0">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C056A0" w:rsidTr="00C056A0">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spacing w:line="440" w:lineRule="exact"/>
              <w:ind w:leftChars="-55" w:left="-115"/>
              <w:jc w:val="center"/>
              <w:rPr>
                <w:rFonts w:eastAsia="楷体"/>
                <w:b/>
                <w:bCs/>
                <w:szCs w:val="21"/>
              </w:rPr>
            </w:pPr>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spacing w:line="440" w:lineRule="exact"/>
              <w:ind w:leftChars="-55" w:left="307" w:hanging="422"/>
              <w:jc w:val="center"/>
              <w:rPr>
                <w:rFonts w:eastAsia="楷体"/>
                <w:b/>
                <w:bCs/>
                <w:szCs w:val="21"/>
              </w:rPr>
            </w:pPr>
            <w:r>
              <w:rPr>
                <w:rFonts w:eastAsia="楷体" w:hint="eastAsia"/>
                <w:b/>
                <w:bCs/>
                <w:szCs w:val="21"/>
              </w:rPr>
              <w:t>数量</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电动缸</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个</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3</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2</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AC/DC电源</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个</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2</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3</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PLC可编程控制器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个</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4</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直线导轨</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根</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6</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5</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丝杠</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根</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2</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6</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行星减速器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4</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7</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步进电机及控制器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2</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8</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交流伺服电机1</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3</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9</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交流伺服电机2</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10</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运动控制器（卡）</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个</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2</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11</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便携式工控机及配套硬件</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12</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空间物体位姿测量实验系统</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r w:rsidR="00C056A0" w:rsidTr="00C056A0">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Cs/>
                <w:kern w:val="0"/>
                <w:sz w:val="20"/>
                <w:szCs w:val="20"/>
              </w:rPr>
            </w:pPr>
            <w:r>
              <w:rPr>
                <w:rFonts w:ascii="宋体" w:hAnsi="宋体" w:cs="宋体" w:hint="eastAsia"/>
                <w:bCs/>
                <w:kern w:val="0"/>
                <w:sz w:val="20"/>
                <w:szCs w:val="20"/>
              </w:rPr>
              <w:t>13</w:t>
            </w:r>
          </w:p>
        </w:tc>
        <w:tc>
          <w:tcPr>
            <w:tcW w:w="4630"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扫描测量实验标记点</w:t>
            </w:r>
          </w:p>
        </w:tc>
        <w:tc>
          <w:tcPr>
            <w:tcW w:w="83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bl>
    <w:p w:rsidR="00C056A0" w:rsidRDefault="00C056A0" w:rsidP="00C056A0">
      <w:pPr>
        <w:spacing w:beforeLines="50" w:afterLines="50" w:line="360" w:lineRule="auto"/>
        <w:rPr>
          <w:b/>
        </w:rPr>
      </w:pPr>
      <w:r>
        <w:rPr>
          <w:b/>
        </w:rPr>
        <w:t>2</w:t>
      </w:r>
      <w:r>
        <w:rPr>
          <w:rFonts w:hint="eastAsia"/>
          <w:b/>
        </w:rPr>
        <w:t>、</w:t>
      </w:r>
      <w:bookmarkStart w:id="5" w:name="_Toc397780076"/>
      <w:bookmarkStart w:id="6" w:name="_Toc397779918"/>
      <w:bookmarkStart w:id="7" w:name="_Toc397779712"/>
      <w:bookmarkStart w:id="8" w:name="_Toc397779509"/>
      <w:bookmarkStart w:id="9" w:name="_Toc397779405"/>
      <w:r>
        <w:rPr>
          <w:rFonts w:hint="eastAsia"/>
          <w:b/>
        </w:rPr>
        <w:t>技术标准和要求</w:t>
      </w:r>
      <w:bookmarkEnd w:id="5"/>
      <w:bookmarkEnd w:id="6"/>
      <w:bookmarkEnd w:id="7"/>
      <w:bookmarkEnd w:id="8"/>
      <w:bookmarkEnd w:id="9"/>
    </w:p>
    <w:tbl>
      <w:tblPr>
        <w:tblW w:w="8505" w:type="dxa"/>
        <w:tblInd w:w="-34" w:type="dxa"/>
        <w:tblLayout w:type="fixed"/>
        <w:tblLook w:val="04A0"/>
      </w:tblPr>
      <w:tblGrid>
        <w:gridCol w:w="709"/>
        <w:gridCol w:w="1276"/>
        <w:gridCol w:w="5102"/>
        <w:gridCol w:w="739"/>
        <w:gridCol w:w="679"/>
      </w:tblGrid>
      <w:tr w:rsidR="00C056A0" w:rsidTr="00C056A0">
        <w:trPr>
          <w:trHeight w:val="480"/>
        </w:trPr>
        <w:tc>
          <w:tcPr>
            <w:tcW w:w="709" w:type="dxa"/>
            <w:tcBorders>
              <w:top w:val="single" w:sz="4" w:space="0" w:color="auto"/>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bookmarkStart w:id="10" w:name="_Toc179632785"/>
            <w:bookmarkStart w:id="11" w:name="_Toc152045767"/>
            <w:bookmarkStart w:id="12" w:name="_Toc152042546"/>
            <w:bookmarkStart w:id="13" w:name="_Toc144974826"/>
            <w:bookmarkEnd w:id="10"/>
            <w:bookmarkEnd w:id="11"/>
            <w:bookmarkEnd w:id="12"/>
            <w:bookmarkEnd w:id="13"/>
            <w:r>
              <w:rPr>
                <w:rFonts w:ascii="宋体" w:hAnsi="宋体" w:cs="宋体" w:hint="eastAsia"/>
                <w:b/>
                <w:bCs/>
                <w:kern w:val="0"/>
                <w:sz w:val="20"/>
                <w:szCs w:val="20"/>
              </w:rPr>
              <w:t>序号</w:t>
            </w:r>
          </w:p>
        </w:tc>
        <w:tc>
          <w:tcPr>
            <w:tcW w:w="1276" w:type="dxa"/>
            <w:tcBorders>
              <w:top w:val="single" w:sz="4" w:space="0" w:color="auto"/>
              <w:left w:val="nil"/>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5103" w:type="dxa"/>
            <w:tcBorders>
              <w:top w:val="single" w:sz="4" w:space="0" w:color="auto"/>
              <w:left w:val="nil"/>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详细技术指标及功能需求</w:t>
            </w:r>
          </w:p>
        </w:tc>
        <w:tc>
          <w:tcPr>
            <w:tcW w:w="739" w:type="dxa"/>
            <w:tcBorders>
              <w:top w:val="single" w:sz="4" w:space="0" w:color="auto"/>
              <w:left w:val="nil"/>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679" w:type="dxa"/>
            <w:tcBorders>
              <w:top w:val="single" w:sz="4" w:space="0" w:color="auto"/>
              <w:left w:val="nil"/>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数量</w:t>
            </w:r>
          </w:p>
        </w:tc>
      </w:tr>
      <w:tr w:rsidR="00C056A0" w:rsidTr="00C056A0">
        <w:trPr>
          <w:trHeight w:val="960"/>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 xml:space="preserve">1 </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电动缸</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直线式，最大行程250mm，最大出力4KN，含伺服驱动器，额定速度250mm/s，电机类型交流伺服，限位开关，内部防转机构。</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个</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3</w:t>
            </w:r>
          </w:p>
        </w:tc>
      </w:tr>
      <w:tr w:rsidR="00C056A0" w:rsidTr="00C056A0">
        <w:trPr>
          <w:trHeight w:val="480"/>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 xml:space="preserve">2 </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AC/DC电源</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输出电压24V，输出功率50w，为电动缸刹车供电</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个</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2</w:t>
            </w:r>
          </w:p>
        </w:tc>
      </w:tr>
      <w:tr w:rsidR="00C056A0" w:rsidTr="00C056A0">
        <w:trPr>
          <w:trHeight w:val="960"/>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 xml:space="preserve">3 </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PLC可编程控制器</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CPU 224XP CN AC/DC/继电器,14输入/10输出，点数60，含信号转接线及触摸屏连接线缆，含数字量模块、模拟量模块，I/O扩展模块,可连接多个扩展模块</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个</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r w:rsidR="00C056A0" w:rsidTr="00C056A0">
        <w:trPr>
          <w:trHeight w:val="264"/>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 xml:space="preserve">4 </w:t>
            </w:r>
          </w:p>
        </w:tc>
        <w:tc>
          <w:tcPr>
            <w:tcW w:w="1276"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直线导轨</w:t>
            </w:r>
          </w:p>
        </w:tc>
        <w:tc>
          <w:tcPr>
            <w:tcW w:w="5103"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基本动额定负荷20-30kN,基本静额定负荷30-40kN；行程不小于1000mm</w:t>
            </w:r>
          </w:p>
        </w:tc>
        <w:tc>
          <w:tcPr>
            <w:tcW w:w="739"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根</w:t>
            </w:r>
          </w:p>
        </w:tc>
        <w:tc>
          <w:tcPr>
            <w:tcW w:w="679"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center"/>
              <w:rPr>
                <w:kern w:val="0"/>
                <w:sz w:val="20"/>
                <w:szCs w:val="20"/>
              </w:rPr>
            </w:pPr>
            <w:r>
              <w:rPr>
                <w:kern w:val="0"/>
                <w:sz w:val="20"/>
                <w:szCs w:val="20"/>
              </w:rPr>
              <w:t>6</w:t>
            </w:r>
          </w:p>
        </w:tc>
      </w:tr>
      <w:tr w:rsidR="00C056A0" w:rsidTr="00C056A0">
        <w:trPr>
          <w:trHeight w:val="264"/>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1276"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丝杠</w:t>
            </w:r>
          </w:p>
        </w:tc>
        <w:tc>
          <w:tcPr>
            <w:tcW w:w="5103"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总长600-700mm；动负荷1500-2000kgf,静负荷3300-4000kgf</w:t>
            </w:r>
          </w:p>
        </w:tc>
        <w:tc>
          <w:tcPr>
            <w:tcW w:w="739"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根</w:t>
            </w:r>
          </w:p>
        </w:tc>
        <w:tc>
          <w:tcPr>
            <w:tcW w:w="679"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center"/>
              <w:rPr>
                <w:kern w:val="0"/>
                <w:sz w:val="20"/>
                <w:szCs w:val="20"/>
              </w:rPr>
            </w:pPr>
            <w:r>
              <w:rPr>
                <w:kern w:val="0"/>
                <w:sz w:val="20"/>
                <w:szCs w:val="20"/>
              </w:rPr>
              <w:t>2</w:t>
            </w:r>
          </w:p>
        </w:tc>
      </w:tr>
      <w:tr w:rsidR="00C056A0" w:rsidTr="00C056A0">
        <w:trPr>
          <w:trHeight w:val="264"/>
        </w:trPr>
        <w:tc>
          <w:tcPr>
            <w:tcW w:w="709" w:type="dxa"/>
            <w:tcBorders>
              <w:top w:val="nil"/>
              <w:left w:val="single" w:sz="4" w:space="0" w:color="auto"/>
              <w:bottom w:val="single" w:sz="4" w:space="0" w:color="auto"/>
              <w:right w:val="single" w:sz="4" w:space="0" w:color="auto"/>
            </w:tcBorders>
            <w:shd w:val="clear" w:color="auto" w:fill="FFFFFF"/>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 xml:space="preserve">6 </w:t>
            </w:r>
          </w:p>
        </w:tc>
        <w:tc>
          <w:tcPr>
            <w:tcW w:w="1276"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行星减速器</w:t>
            </w:r>
          </w:p>
        </w:tc>
        <w:tc>
          <w:tcPr>
            <w:tcW w:w="5103"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减速比20-30，额定输出扭矩60～100Nm</w:t>
            </w:r>
          </w:p>
        </w:tc>
        <w:tc>
          <w:tcPr>
            <w:tcW w:w="739"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台</w:t>
            </w:r>
          </w:p>
        </w:tc>
        <w:tc>
          <w:tcPr>
            <w:tcW w:w="679" w:type="dxa"/>
            <w:tcBorders>
              <w:top w:val="nil"/>
              <w:left w:val="nil"/>
              <w:bottom w:val="single" w:sz="4" w:space="0" w:color="auto"/>
              <w:right w:val="single" w:sz="4" w:space="0" w:color="auto"/>
            </w:tcBorders>
            <w:shd w:val="clear" w:color="auto" w:fill="FFFFFF"/>
            <w:vAlign w:val="center"/>
            <w:hideMark/>
          </w:tcPr>
          <w:p w:rsidR="00C056A0" w:rsidRDefault="00C056A0">
            <w:pPr>
              <w:widowControl/>
              <w:jc w:val="center"/>
              <w:rPr>
                <w:kern w:val="0"/>
                <w:sz w:val="20"/>
                <w:szCs w:val="20"/>
              </w:rPr>
            </w:pPr>
            <w:r>
              <w:rPr>
                <w:kern w:val="0"/>
                <w:sz w:val="20"/>
                <w:szCs w:val="20"/>
              </w:rPr>
              <w:t>4</w:t>
            </w:r>
          </w:p>
        </w:tc>
      </w:tr>
      <w:tr w:rsidR="00C056A0" w:rsidTr="00C056A0">
        <w:trPr>
          <w:trHeight w:val="264"/>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步进电机及控制器</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含驱动器，静转矩20NM；</w:t>
            </w:r>
            <w:r>
              <w:rPr>
                <w:rFonts w:ascii="宋体" w:hAnsi="宋体" w:cs="宋体" w:hint="eastAsia"/>
                <w:kern w:val="0"/>
                <w:szCs w:val="21"/>
              </w:rPr>
              <w:t>★</w:t>
            </w:r>
            <w:r>
              <w:rPr>
                <w:rFonts w:ascii="宋体" w:hAnsi="宋体" w:cs="宋体" w:hint="eastAsia"/>
                <w:kern w:val="0"/>
                <w:sz w:val="20"/>
                <w:szCs w:val="20"/>
              </w:rPr>
              <w:t>转速800r/min以上；</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套</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2</w:t>
            </w:r>
          </w:p>
        </w:tc>
      </w:tr>
      <w:tr w:rsidR="00C056A0" w:rsidTr="00C056A0">
        <w:trPr>
          <w:trHeight w:val="480"/>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lastRenderedPageBreak/>
              <w:t xml:space="preserve">8 </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交流伺服电机1</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含驱动器等配件，400-500W，键槽、有刹车；含伺服动力线缆接头，伺服编码器线缆接头，最大扭矩不小于3.5Nm</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台</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3</w:t>
            </w:r>
          </w:p>
        </w:tc>
      </w:tr>
      <w:tr w:rsidR="00C056A0" w:rsidTr="00C056A0">
        <w:trPr>
          <w:trHeight w:val="720"/>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交流伺服电机2</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含驱动器等配件，3KW，键槽、有刹车；含伺服动力线缆接头，伺服编码器线缆接头，最大扭矩不小于9.5Nm</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台</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r w:rsidR="00C056A0" w:rsidTr="00C056A0">
        <w:trPr>
          <w:trHeight w:val="720"/>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 xml:space="preserve">10 </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运动控制器（卡）</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四路编码器接口，装拆方便，通过PCI插槽与PC电脑通信；能采用VC++、C#进行编程控制，所写程序能生成运态连接库以便虚拟软件调用；同时控制三台伺服或步进电机；具有原点和极限位置检测功能</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个</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2</w:t>
            </w:r>
          </w:p>
        </w:tc>
      </w:tr>
      <w:tr w:rsidR="00C056A0" w:rsidTr="00C056A0">
        <w:trPr>
          <w:trHeight w:val="960"/>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 xml:space="preserve">11 </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便携式工控机及配套硬件</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Cs w:val="21"/>
              </w:rPr>
              <w:t>★</w:t>
            </w:r>
            <w:r>
              <w:rPr>
                <w:rFonts w:ascii="宋体" w:hAnsi="宋体" w:cs="宋体" w:hint="eastAsia"/>
                <w:kern w:val="0"/>
                <w:sz w:val="20"/>
                <w:szCs w:val="20"/>
              </w:rPr>
              <w:t>6U 5槽高达64位/66MHz的PCI总线，支持后走线；4核, 主频3.4GHz，三级缓存8M；显存1G，显存位宽128Bit，核心频率928/954MHzMHz；内存8G；固态硬盘500G；15寸以上LCD触摸显示屏；400W，100-240V AC电源；带拉杆箱；win7操作系统</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台</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r w:rsidR="00C056A0" w:rsidTr="00C056A0">
        <w:trPr>
          <w:trHeight w:val="1680"/>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 xml:space="preserve">12 </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空间物体位姿测量实验系统</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对机械零部件等目标进行检测及定位，完成零件位置及姿态的测量实验。</w:t>
            </w:r>
            <w:r>
              <w:rPr>
                <w:rFonts w:ascii="宋体" w:hAnsi="宋体" w:cs="宋体" w:hint="eastAsia"/>
                <w:kern w:val="0"/>
                <w:sz w:val="20"/>
                <w:szCs w:val="20"/>
              </w:rPr>
              <w:br/>
              <w:t>1、机器视觉软硬件模块：(1)含小型GigE工业网络数字摄像机2部；分辨率：最大分辨率不小于1600*1200像素；同步方式：外触发或连续采集；可编程控制：亮度、增益、帧率、曝光时间、异步复位；输出方式：GigE千兆以太网输出；供电要求：12V（外部供电）；帧率：不小于20帧/秒；标准镜头接口(CS及C口)支持数字信号外触发接口；可控电子快门，全局曝光，无需附加机械快门；支持GigE Vision标准，兼容Labview、Visionpro、Halcon、CVB等图像处理软件；相机自带帧存；支持异步触发；驱动支持：提供SDK或第三方兼容GigE Vision的标准软件； 支持Windows XP＆Win7 32bit及64bit(2)</w:t>
            </w:r>
            <w:r>
              <w:rPr>
                <w:rFonts w:ascii="宋体" w:hAnsi="宋体" w:cs="宋体" w:hint="eastAsia"/>
                <w:kern w:val="0"/>
                <w:szCs w:val="21"/>
              </w:rPr>
              <w:t xml:space="preserve"> ★提供</w:t>
            </w:r>
            <w:r>
              <w:rPr>
                <w:rFonts w:ascii="宋体" w:hAnsi="宋体" w:cs="宋体" w:hint="eastAsia"/>
                <w:kern w:val="0"/>
                <w:sz w:val="20"/>
                <w:szCs w:val="20"/>
              </w:rPr>
              <w:t>相应的标定软件，完成测量目标的获取。</w:t>
            </w:r>
            <w:r>
              <w:rPr>
                <w:rFonts w:ascii="宋体" w:hAnsi="宋体" w:cs="宋体" w:hint="eastAsia"/>
                <w:kern w:val="0"/>
                <w:sz w:val="20"/>
                <w:szCs w:val="20"/>
              </w:rPr>
              <w:br/>
              <w:t>2、光源及控制模块：(1)含LED光源和背光源（环光1套，圆顶光源1套，条形光2套，背光源1套(2)</w:t>
            </w:r>
            <w:r>
              <w:rPr>
                <w:rFonts w:ascii="宋体" w:hAnsi="宋体" w:cs="宋体" w:hint="eastAsia"/>
                <w:kern w:val="0"/>
                <w:szCs w:val="21"/>
              </w:rPr>
              <w:t xml:space="preserve"> ★</w:t>
            </w:r>
            <w:r>
              <w:rPr>
                <w:rFonts w:ascii="宋体" w:hAnsi="宋体" w:cs="宋体" w:hint="eastAsia"/>
                <w:kern w:val="0"/>
                <w:sz w:val="20"/>
                <w:szCs w:val="20"/>
              </w:rPr>
              <w:t>亮度大于2500流明的LED投影仪1部，提供测量所需的结构光，并提供具有国家版权局颁发的计算机软件著作权登记证书的结构光投射功能软件分析系统，。</w:t>
            </w:r>
            <w:r>
              <w:rPr>
                <w:rFonts w:ascii="宋体" w:hAnsi="宋体" w:cs="宋体" w:hint="eastAsia"/>
                <w:kern w:val="0"/>
                <w:sz w:val="20"/>
                <w:szCs w:val="20"/>
              </w:rPr>
              <w:br/>
              <w:t>3、系统台架：含工业智能全方位视觉云台（可承载一台或多台工业图像采集设备,提供控制函数接口）、含三脚架及设备支撑平台、微调旋钮升降架；机器视觉实验仪器箱1个；机器视觉光源支架含底座、立杆；光源固定架；双目刻度横杆，保证设备在相应位置的安装。</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套</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r w:rsidR="00C056A0" w:rsidTr="00C056A0">
        <w:trPr>
          <w:trHeight w:val="841"/>
        </w:trPr>
        <w:tc>
          <w:tcPr>
            <w:tcW w:w="709" w:type="dxa"/>
            <w:tcBorders>
              <w:top w:val="nil"/>
              <w:left w:val="single" w:sz="4" w:space="0" w:color="auto"/>
              <w:bottom w:val="single" w:sz="4" w:space="0" w:color="auto"/>
              <w:right w:val="single" w:sz="4" w:space="0" w:color="auto"/>
            </w:tcBorders>
            <w:vAlign w:val="center"/>
            <w:hideMark/>
          </w:tcPr>
          <w:p w:rsidR="00C056A0" w:rsidRDefault="00C056A0">
            <w:pPr>
              <w:widowControl/>
              <w:jc w:val="center"/>
              <w:rPr>
                <w:rFonts w:ascii="宋体" w:hAnsi="宋体" w:cs="宋体"/>
                <w:b/>
                <w:bCs/>
                <w:kern w:val="0"/>
                <w:sz w:val="20"/>
                <w:szCs w:val="20"/>
              </w:rPr>
            </w:pPr>
            <w:r>
              <w:rPr>
                <w:rFonts w:ascii="宋体" w:hAnsi="宋体" w:cs="宋体" w:hint="eastAsia"/>
                <w:b/>
                <w:bCs/>
                <w:kern w:val="0"/>
                <w:sz w:val="20"/>
                <w:szCs w:val="20"/>
              </w:rPr>
              <w:t xml:space="preserve">13 </w:t>
            </w:r>
          </w:p>
        </w:tc>
        <w:tc>
          <w:tcPr>
            <w:tcW w:w="1276"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扫描测量实验标记点</w:t>
            </w:r>
          </w:p>
        </w:tc>
        <w:tc>
          <w:tcPr>
            <w:tcW w:w="5103" w:type="dxa"/>
            <w:tcBorders>
              <w:top w:val="nil"/>
              <w:left w:val="nil"/>
              <w:bottom w:val="single" w:sz="4" w:space="0" w:color="auto"/>
              <w:right w:val="single" w:sz="4" w:space="0" w:color="auto"/>
            </w:tcBorders>
            <w:vAlign w:val="center"/>
            <w:hideMark/>
          </w:tcPr>
          <w:p w:rsidR="00C056A0" w:rsidRDefault="00C056A0">
            <w:pPr>
              <w:widowControl/>
              <w:jc w:val="left"/>
              <w:rPr>
                <w:rFonts w:ascii="宋体" w:hAnsi="宋体" w:cs="宋体"/>
                <w:kern w:val="0"/>
                <w:sz w:val="20"/>
                <w:szCs w:val="20"/>
              </w:rPr>
            </w:pPr>
            <w:r>
              <w:rPr>
                <w:rFonts w:ascii="宋体" w:hAnsi="宋体" w:cs="宋体" w:hint="eastAsia"/>
                <w:kern w:val="0"/>
                <w:sz w:val="20"/>
                <w:szCs w:val="20"/>
              </w:rPr>
              <w:t>带磁性，内径5mm，外径9mm</w:t>
            </w:r>
          </w:p>
        </w:tc>
        <w:tc>
          <w:tcPr>
            <w:tcW w:w="739" w:type="dxa"/>
            <w:tcBorders>
              <w:top w:val="nil"/>
              <w:left w:val="nil"/>
              <w:bottom w:val="single" w:sz="4" w:space="0" w:color="auto"/>
              <w:right w:val="single" w:sz="4" w:space="0" w:color="auto"/>
            </w:tcBorders>
            <w:vAlign w:val="center"/>
            <w:hideMark/>
          </w:tcPr>
          <w:p w:rsidR="00C056A0" w:rsidRDefault="00C056A0">
            <w:pPr>
              <w:widowControl/>
              <w:jc w:val="center"/>
              <w:rPr>
                <w:rFonts w:ascii="宋体" w:hAnsi="宋体" w:cs="宋体"/>
                <w:kern w:val="0"/>
                <w:sz w:val="20"/>
                <w:szCs w:val="20"/>
              </w:rPr>
            </w:pPr>
            <w:r>
              <w:rPr>
                <w:rFonts w:ascii="宋体" w:hAnsi="宋体" w:cs="宋体" w:hint="eastAsia"/>
                <w:kern w:val="0"/>
                <w:sz w:val="20"/>
                <w:szCs w:val="20"/>
              </w:rPr>
              <w:t>套</w:t>
            </w:r>
          </w:p>
        </w:tc>
        <w:tc>
          <w:tcPr>
            <w:tcW w:w="679" w:type="dxa"/>
            <w:tcBorders>
              <w:top w:val="nil"/>
              <w:left w:val="nil"/>
              <w:bottom w:val="single" w:sz="4" w:space="0" w:color="auto"/>
              <w:right w:val="single" w:sz="4" w:space="0" w:color="auto"/>
            </w:tcBorders>
            <w:vAlign w:val="center"/>
            <w:hideMark/>
          </w:tcPr>
          <w:p w:rsidR="00C056A0" w:rsidRDefault="00C056A0">
            <w:pPr>
              <w:widowControl/>
              <w:jc w:val="center"/>
              <w:rPr>
                <w:kern w:val="0"/>
                <w:sz w:val="20"/>
                <w:szCs w:val="20"/>
              </w:rPr>
            </w:pPr>
            <w:r>
              <w:rPr>
                <w:kern w:val="0"/>
                <w:sz w:val="20"/>
                <w:szCs w:val="20"/>
              </w:rPr>
              <w:t>1</w:t>
            </w:r>
          </w:p>
        </w:tc>
      </w:tr>
    </w:tbl>
    <w:p w:rsidR="00C056A0" w:rsidRDefault="00C056A0" w:rsidP="00C056A0">
      <w:pPr>
        <w:spacing w:beforeLines="50" w:afterLines="50" w:line="360" w:lineRule="auto"/>
        <w:rPr>
          <w:b/>
        </w:rPr>
      </w:pPr>
      <w:r>
        <w:rPr>
          <w:b/>
        </w:rPr>
        <w:t>3</w:t>
      </w:r>
      <w:r>
        <w:rPr>
          <w:rFonts w:hint="eastAsia"/>
          <w:b/>
        </w:rPr>
        <w:t>、质保要求</w:t>
      </w:r>
    </w:p>
    <w:p w:rsidR="00B41FAD" w:rsidRDefault="00C056A0" w:rsidP="00C056A0">
      <w:r>
        <w:rPr>
          <w:rFonts w:hint="eastAsia"/>
        </w:rPr>
        <w:t>质保</w:t>
      </w:r>
      <w:r>
        <w:t>1</w:t>
      </w:r>
      <w:r>
        <w:rPr>
          <w:rFonts w:hint="eastAsia"/>
        </w:rPr>
        <w:t>年，提供终身维修服务，需提供详细的售后服务方案。</w:t>
      </w:r>
    </w:p>
    <w:sectPr w:rsidR="00B41F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FAD" w:rsidRDefault="00B41FAD" w:rsidP="00C056A0">
      <w:r>
        <w:separator/>
      </w:r>
    </w:p>
  </w:endnote>
  <w:endnote w:type="continuationSeparator" w:id="1">
    <w:p w:rsidR="00B41FAD" w:rsidRDefault="00B41FAD" w:rsidP="00C056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FAD" w:rsidRDefault="00B41FAD" w:rsidP="00C056A0">
      <w:r>
        <w:separator/>
      </w:r>
    </w:p>
  </w:footnote>
  <w:footnote w:type="continuationSeparator" w:id="1">
    <w:p w:rsidR="00B41FAD" w:rsidRDefault="00B41FAD" w:rsidP="00C056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56A0"/>
    <w:rsid w:val="00B41FAD"/>
    <w:rsid w:val="00C05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6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56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056A0"/>
    <w:rPr>
      <w:sz w:val="18"/>
      <w:szCs w:val="18"/>
    </w:rPr>
  </w:style>
  <w:style w:type="paragraph" w:styleId="a4">
    <w:name w:val="footer"/>
    <w:basedOn w:val="a"/>
    <w:link w:val="Char0"/>
    <w:uiPriority w:val="99"/>
    <w:semiHidden/>
    <w:unhideWhenUsed/>
    <w:rsid w:val="00C056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056A0"/>
    <w:rPr>
      <w:sz w:val="18"/>
      <w:szCs w:val="18"/>
    </w:rPr>
  </w:style>
</w:styles>
</file>

<file path=word/webSettings.xml><?xml version="1.0" encoding="utf-8"?>
<w:webSettings xmlns:r="http://schemas.openxmlformats.org/officeDocument/2006/relationships" xmlns:w="http://schemas.openxmlformats.org/wordprocessingml/2006/main">
  <w:divs>
    <w:div w:id="5846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2015-04-24T05:23:00Z</dcterms:created>
  <dcterms:modified xsi:type="dcterms:W3CDTF">2015-04-24T05:23:00Z</dcterms:modified>
</cp:coreProperties>
</file>