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F6" w:rsidRPr="000B6B28" w:rsidRDefault="00610CF6" w:rsidP="00610CF6">
      <w:pPr>
        <w:pStyle w:val="1"/>
        <w:jc w:val="center"/>
      </w:pPr>
      <w:proofErr w:type="spellStart"/>
      <w:r w:rsidRPr="000B6B28">
        <w:rPr>
          <w:rFonts w:hint="eastAsia"/>
        </w:rPr>
        <w:t>技术</w:t>
      </w:r>
      <w:r w:rsidRPr="000B6B28">
        <w:rPr>
          <w:rFonts w:hint="eastAsia"/>
          <w:lang w:eastAsia="zh-CN"/>
        </w:rPr>
        <w:t>标准和</w:t>
      </w:r>
      <w:r w:rsidRPr="000B6B28">
        <w:rPr>
          <w:rFonts w:hint="eastAsia"/>
        </w:rPr>
        <w:t>要求</w:t>
      </w:r>
      <w:proofErr w:type="spellEnd"/>
    </w:p>
    <w:p w:rsidR="00610CF6" w:rsidRPr="000B6B28" w:rsidRDefault="00610CF6" w:rsidP="00610CF6">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0B6B28">
        <w:rPr>
          <w:rFonts w:hint="eastAsia"/>
          <w:b/>
        </w:rPr>
        <w:t>1</w:t>
      </w:r>
      <w:r w:rsidRPr="000B6B28">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610CF6" w:rsidRPr="000B6B28" w:rsidTr="001C2A47">
        <w:trPr>
          <w:trHeight w:val="521"/>
          <w:jc w:val="center"/>
        </w:trPr>
        <w:tc>
          <w:tcPr>
            <w:tcW w:w="1031" w:type="dxa"/>
            <w:vAlign w:val="center"/>
          </w:tcPr>
          <w:p w:rsidR="00610CF6" w:rsidRPr="000B6B28" w:rsidRDefault="00610CF6" w:rsidP="001C2A47">
            <w:pPr>
              <w:spacing w:line="440" w:lineRule="exact"/>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0B6B28">
              <w:rPr>
                <w:rFonts w:eastAsia="楷体"/>
                <w:b/>
                <w:bCs/>
                <w:szCs w:val="21"/>
              </w:rPr>
              <w:t>序号</w:t>
            </w:r>
          </w:p>
        </w:tc>
        <w:tc>
          <w:tcPr>
            <w:tcW w:w="4630" w:type="dxa"/>
            <w:shd w:val="clear" w:color="auto" w:fill="auto"/>
            <w:vAlign w:val="center"/>
            <w:hideMark/>
          </w:tcPr>
          <w:p w:rsidR="00610CF6" w:rsidRPr="000B6B28" w:rsidRDefault="00610CF6" w:rsidP="001C2A47">
            <w:pPr>
              <w:spacing w:line="440" w:lineRule="exact"/>
              <w:ind w:leftChars="-55" w:left="-115"/>
              <w:jc w:val="center"/>
              <w:rPr>
                <w:rFonts w:eastAsia="楷体"/>
                <w:b/>
                <w:bCs/>
                <w:szCs w:val="21"/>
              </w:rPr>
            </w:pPr>
            <w:r w:rsidRPr="000B6B28">
              <w:rPr>
                <w:rFonts w:eastAsia="楷体"/>
                <w:b/>
                <w:bCs/>
                <w:szCs w:val="21"/>
              </w:rPr>
              <w:t>设备名称</w:t>
            </w:r>
          </w:p>
        </w:tc>
        <w:tc>
          <w:tcPr>
            <w:tcW w:w="836" w:type="dxa"/>
            <w:shd w:val="clear" w:color="auto" w:fill="auto"/>
            <w:vAlign w:val="center"/>
            <w:hideMark/>
          </w:tcPr>
          <w:p w:rsidR="00610CF6" w:rsidRPr="000B6B28" w:rsidRDefault="00610CF6" w:rsidP="001C2A47">
            <w:pPr>
              <w:spacing w:line="440" w:lineRule="exact"/>
              <w:ind w:leftChars="-55" w:left="-115" w:rightChars="-19" w:right="-40"/>
              <w:jc w:val="center"/>
              <w:rPr>
                <w:rFonts w:eastAsia="楷体"/>
                <w:b/>
                <w:bCs/>
                <w:szCs w:val="21"/>
              </w:rPr>
            </w:pPr>
            <w:r w:rsidRPr="000B6B28">
              <w:rPr>
                <w:rFonts w:eastAsia="楷体"/>
                <w:b/>
                <w:bCs/>
                <w:szCs w:val="21"/>
              </w:rPr>
              <w:t>单位</w:t>
            </w:r>
          </w:p>
        </w:tc>
        <w:tc>
          <w:tcPr>
            <w:tcW w:w="776" w:type="dxa"/>
            <w:shd w:val="clear" w:color="auto" w:fill="auto"/>
            <w:vAlign w:val="center"/>
            <w:hideMark/>
          </w:tcPr>
          <w:p w:rsidR="00610CF6" w:rsidRPr="000B6B28" w:rsidRDefault="00610CF6" w:rsidP="001C2A47">
            <w:pPr>
              <w:spacing w:line="440" w:lineRule="exact"/>
              <w:ind w:leftChars="-55" w:left="307" w:hanging="422"/>
              <w:jc w:val="center"/>
              <w:rPr>
                <w:rFonts w:eastAsia="楷体"/>
                <w:b/>
                <w:bCs/>
                <w:szCs w:val="21"/>
              </w:rPr>
            </w:pPr>
            <w:r w:rsidRPr="000B6B28">
              <w:rPr>
                <w:rFonts w:eastAsia="楷体"/>
                <w:b/>
                <w:bCs/>
                <w:szCs w:val="21"/>
              </w:rPr>
              <w:t>数量</w:t>
            </w:r>
          </w:p>
        </w:tc>
      </w:tr>
      <w:tr w:rsidR="00610CF6" w:rsidRPr="000B6B28" w:rsidTr="001C2A47">
        <w:trPr>
          <w:trHeight w:val="496"/>
          <w:jc w:val="center"/>
        </w:trPr>
        <w:tc>
          <w:tcPr>
            <w:tcW w:w="1031" w:type="dxa"/>
            <w:vAlign w:val="center"/>
          </w:tcPr>
          <w:p w:rsidR="00610CF6" w:rsidRPr="000B6B28" w:rsidRDefault="00610CF6" w:rsidP="001C2A47">
            <w:pPr>
              <w:jc w:val="center"/>
              <w:rPr>
                <w:rFonts w:ascii="宋体" w:hAnsi="宋体"/>
                <w:szCs w:val="21"/>
              </w:rPr>
            </w:pPr>
            <w:r w:rsidRPr="000B6B28">
              <w:rPr>
                <w:rFonts w:ascii="宋体" w:hAnsi="宋体"/>
                <w:szCs w:val="21"/>
              </w:rPr>
              <w:t>1</w:t>
            </w:r>
          </w:p>
        </w:tc>
        <w:tc>
          <w:tcPr>
            <w:tcW w:w="4630" w:type="dxa"/>
            <w:shd w:val="clear" w:color="auto" w:fill="auto"/>
            <w:vAlign w:val="center"/>
            <w:hideMark/>
          </w:tcPr>
          <w:p w:rsidR="00610CF6" w:rsidRPr="000B6B28" w:rsidRDefault="00610CF6" w:rsidP="001C2A47">
            <w:pPr>
              <w:rPr>
                <w:rFonts w:ascii="宋体" w:cs="宋体"/>
                <w:szCs w:val="21"/>
              </w:rPr>
            </w:pPr>
            <w:r w:rsidRPr="000B6B28">
              <w:rPr>
                <w:rFonts w:ascii="宋体" w:hAnsi="宋体" w:hint="eastAsia"/>
                <w:szCs w:val="21"/>
              </w:rPr>
              <w:t>交通仿真软件模块增加</w:t>
            </w:r>
          </w:p>
        </w:tc>
        <w:tc>
          <w:tcPr>
            <w:tcW w:w="836" w:type="dxa"/>
            <w:shd w:val="clear" w:color="auto" w:fill="auto"/>
            <w:vAlign w:val="center"/>
            <w:hideMark/>
          </w:tcPr>
          <w:p w:rsidR="00610CF6" w:rsidRPr="000B6B28" w:rsidRDefault="00610CF6" w:rsidP="001C2A47">
            <w:pPr>
              <w:jc w:val="center"/>
              <w:rPr>
                <w:rFonts w:ascii="宋体" w:cs="宋体"/>
                <w:szCs w:val="21"/>
              </w:rPr>
            </w:pPr>
            <w:r w:rsidRPr="000B6B28">
              <w:rPr>
                <w:rFonts w:ascii="宋体" w:hAnsi="宋体" w:hint="eastAsia"/>
                <w:szCs w:val="21"/>
              </w:rPr>
              <w:t>项</w:t>
            </w:r>
          </w:p>
        </w:tc>
        <w:tc>
          <w:tcPr>
            <w:tcW w:w="776" w:type="dxa"/>
            <w:shd w:val="clear" w:color="auto" w:fill="auto"/>
            <w:vAlign w:val="center"/>
            <w:hideMark/>
          </w:tcPr>
          <w:p w:rsidR="00610CF6" w:rsidRPr="000B6B28" w:rsidRDefault="00610CF6" w:rsidP="001C2A47">
            <w:pPr>
              <w:jc w:val="center"/>
              <w:rPr>
                <w:rFonts w:ascii="宋体" w:cs="宋体"/>
                <w:szCs w:val="21"/>
              </w:rPr>
            </w:pPr>
            <w:r w:rsidRPr="000B6B28">
              <w:rPr>
                <w:rFonts w:ascii="宋体" w:hAnsi="宋体"/>
                <w:szCs w:val="21"/>
              </w:rPr>
              <w:t>1</w:t>
            </w:r>
          </w:p>
        </w:tc>
      </w:tr>
      <w:tr w:rsidR="00610CF6" w:rsidRPr="000B6B28" w:rsidTr="001C2A47">
        <w:trPr>
          <w:trHeight w:val="496"/>
          <w:jc w:val="center"/>
        </w:trPr>
        <w:tc>
          <w:tcPr>
            <w:tcW w:w="1031" w:type="dxa"/>
            <w:vAlign w:val="center"/>
          </w:tcPr>
          <w:p w:rsidR="00610CF6" w:rsidRPr="000B6B28" w:rsidRDefault="00610CF6" w:rsidP="001C2A47">
            <w:pPr>
              <w:jc w:val="center"/>
              <w:rPr>
                <w:rFonts w:ascii="宋体" w:hAnsi="宋体"/>
                <w:szCs w:val="21"/>
              </w:rPr>
            </w:pPr>
            <w:r w:rsidRPr="000B6B28">
              <w:rPr>
                <w:rFonts w:ascii="宋体" w:hAnsi="宋体"/>
                <w:szCs w:val="21"/>
              </w:rPr>
              <w:t>2</w:t>
            </w:r>
          </w:p>
        </w:tc>
        <w:tc>
          <w:tcPr>
            <w:tcW w:w="4630" w:type="dxa"/>
            <w:shd w:val="clear" w:color="auto" w:fill="auto"/>
            <w:vAlign w:val="center"/>
          </w:tcPr>
          <w:p w:rsidR="00610CF6" w:rsidRPr="000B6B28" w:rsidRDefault="00610CF6" w:rsidP="001C2A47">
            <w:pPr>
              <w:rPr>
                <w:rFonts w:ascii="宋体" w:cs="宋体"/>
                <w:szCs w:val="21"/>
              </w:rPr>
            </w:pPr>
            <w:r w:rsidRPr="000B6B28">
              <w:rPr>
                <w:rFonts w:ascii="宋体" w:hAnsi="宋体" w:hint="eastAsia"/>
                <w:szCs w:val="21"/>
              </w:rPr>
              <w:t>交通微观仿真软件升级</w:t>
            </w:r>
          </w:p>
        </w:tc>
        <w:tc>
          <w:tcPr>
            <w:tcW w:w="836" w:type="dxa"/>
            <w:shd w:val="clear" w:color="auto" w:fill="auto"/>
            <w:vAlign w:val="center"/>
          </w:tcPr>
          <w:p w:rsidR="00610CF6" w:rsidRPr="000B6B28" w:rsidRDefault="00610CF6" w:rsidP="001C2A47">
            <w:pPr>
              <w:jc w:val="center"/>
              <w:rPr>
                <w:rFonts w:ascii="宋体" w:cs="宋体"/>
                <w:szCs w:val="21"/>
              </w:rPr>
            </w:pPr>
            <w:r w:rsidRPr="000B6B28">
              <w:rPr>
                <w:rFonts w:ascii="宋体" w:hAnsi="宋体" w:hint="eastAsia"/>
                <w:szCs w:val="21"/>
              </w:rPr>
              <w:t>项</w:t>
            </w:r>
          </w:p>
        </w:tc>
        <w:tc>
          <w:tcPr>
            <w:tcW w:w="776" w:type="dxa"/>
            <w:shd w:val="clear" w:color="auto" w:fill="auto"/>
            <w:vAlign w:val="center"/>
          </w:tcPr>
          <w:p w:rsidR="00610CF6" w:rsidRPr="000B6B28" w:rsidRDefault="00610CF6" w:rsidP="001C2A47">
            <w:pPr>
              <w:jc w:val="center"/>
              <w:rPr>
                <w:rFonts w:ascii="宋体" w:cs="宋体"/>
                <w:szCs w:val="21"/>
              </w:rPr>
            </w:pPr>
            <w:r w:rsidRPr="000B6B28">
              <w:rPr>
                <w:rFonts w:ascii="宋体" w:hAnsi="宋体"/>
                <w:szCs w:val="21"/>
              </w:rPr>
              <w:t>1</w:t>
            </w:r>
          </w:p>
        </w:tc>
      </w:tr>
    </w:tbl>
    <w:p w:rsidR="00610CF6" w:rsidRPr="000B6B28" w:rsidRDefault="00610CF6" w:rsidP="00610CF6">
      <w:pPr>
        <w:spacing w:beforeLines="50" w:afterLines="50" w:line="360" w:lineRule="auto"/>
        <w:rPr>
          <w:b/>
        </w:rPr>
      </w:pPr>
      <w:r w:rsidRPr="000B6B28">
        <w:rPr>
          <w:rFonts w:hint="eastAsia"/>
          <w:b/>
        </w:rPr>
        <w:t>2</w:t>
      </w:r>
      <w:r w:rsidRPr="000B6B28">
        <w:rPr>
          <w:rFonts w:hint="eastAsia"/>
          <w:b/>
        </w:rPr>
        <w:t>、技术标准和要求</w:t>
      </w:r>
      <w:bookmarkEnd w:id="5"/>
      <w:bookmarkEnd w:id="6"/>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93"/>
        <w:gridCol w:w="4380"/>
        <w:gridCol w:w="900"/>
        <w:gridCol w:w="689"/>
        <w:gridCol w:w="885"/>
      </w:tblGrid>
      <w:tr w:rsidR="00610CF6" w:rsidRPr="000B6B28" w:rsidTr="001C2A47">
        <w:tc>
          <w:tcPr>
            <w:tcW w:w="675" w:type="dxa"/>
            <w:vAlign w:val="center"/>
          </w:tcPr>
          <w:p w:rsidR="00610CF6" w:rsidRPr="000B6B28" w:rsidRDefault="00610CF6" w:rsidP="001C2A47">
            <w:pPr>
              <w:spacing w:beforeLines="50" w:afterLines="50"/>
              <w:jc w:val="center"/>
              <w:rPr>
                <w:rFonts w:ascii="宋体"/>
                <w:b/>
                <w:szCs w:val="21"/>
              </w:rPr>
            </w:pPr>
            <w:bookmarkStart w:id="10" w:name="_Toc144974826"/>
            <w:bookmarkStart w:id="11" w:name="_Toc152042546"/>
            <w:bookmarkStart w:id="12" w:name="_Toc152045767"/>
            <w:bookmarkStart w:id="13" w:name="_Toc179632785"/>
            <w:bookmarkEnd w:id="10"/>
            <w:bookmarkEnd w:id="11"/>
            <w:bookmarkEnd w:id="12"/>
            <w:bookmarkEnd w:id="13"/>
            <w:r w:rsidRPr="000B6B28">
              <w:rPr>
                <w:rFonts w:ascii="宋体" w:hAnsi="宋体" w:hint="eastAsia"/>
                <w:b/>
                <w:szCs w:val="21"/>
              </w:rPr>
              <w:t>序号</w:t>
            </w:r>
          </w:p>
        </w:tc>
        <w:tc>
          <w:tcPr>
            <w:tcW w:w="993" w:type="dxa"/>
            <w:vAlign w:val="center"/>
          </w:tcPr>
          <w:p w:rsidR="00610CF6" w:rsidRPr="000B6B28" w:rsidRDefault="00610CF6" w:rsidP="001C2A47">
            <w:pPr>
              <w:spacing w:beforeLines="50" w:afterLines="50"/>
              <w:jc w:val="center"/>
              <w:rPr>
                <w:rFonts w:ascii="宋体"/>
                <w:b/>
                <w:szCs w:val="21"/>
              </w:rPr>
            </w:pPr>
            <w:r w:rsidRPr="000B6B28">
              <w:rPr>
                <w:rFonts w:ascii="宋体" w:hAnsi="宋体" w:hint="eastAsia"/>
                <w:b/>
                <w:szCs w:val="21"/>
              </w:rPr>
              <w:t>名称</w:t>
            </w:r>
          </w:p>
        </w:tc>
        <w:tc>
          <w:tcPr>
            <w:tcW w:w="4380" w:type="dxa"/>
            <w:vAlign w:val="center"/>
          </w:tcPr>
          <w:p w:rsidR="00610CF6" w:rsidRPr="000B6B28" w:rsidRDefault="00610CF6" w:rsidP="001C2A47">
            <w:pPr>
              <w:spacing w:beforeLines="50" w:afterLines="50"/>
              <w:jc w:val="center"/>
              <w:rPr>
                <w:rFonts w:ascii="宋体"/>
                <w:b/>
                <w:szCs w:val="21"/>
              </w:rPr>
            </w:pPr>
            <w:r w:rsidRPr="000B6B28">
              <w:rPr>
                <w:rFonts w:ascii="宋体" w:hAnsi="宋体" w:hint="eastAsia"/>
                <w:b/>
                <w:szCs w:val="21"/>
              </w:rPr>
              <w:t>详细技术指标及功能需求</w:t>
            </w:r>
          </w:p>
        </w:tc>
        <w:tc>
          <w:tcPr>
            <w:tcW w:w="900" w:type="dxa"/>
            <w:vAlign w:val="center"/>
          </w:tcPr>
          <w:p w:rsidR="00610CF6" w:rsidRPr="000B6B28" w:rsidRDefault="00610CF6" w:rsidP="001C2A47">
            <w:pPr>
              <w:spacing w:beforeLines="50" w:afterLines="50"/>
              <w:jc w:val="center"/>
              <w:rPr>
                <w:rFonts w:ascii="宋体"/>
                <w:b/>
                <w:szCs w:val="21"/>
              </w:rPr>
            </w:pPr>
            <w:r w:rsidRPr="000B6B28">
              <w:rPr>
                <w:rFonts w:ascii="宋体" w:hAnsi="宋体" w:hint="eastAsia"/>
                <w:b/>
                <w:szCs w:val="21"/>
              </w:rPr>
              <w:t>单位</w:t>
            </w:r>
          </w:p>
        </w:tc>
        <w:tc>
          <w:tcPr>
            <w:tcW w:w="689" w:type="dxa"/>
            <w:vAlign w:val="center"/>
          </w:tcPr>
          <w:p w:rsidR="00610CF6" w:rsidRPr="000B6B28" w:rsidRDefault="00610CF6" w:rsidP="001C2A47">
            <w:pPr>
              <w:spacing w:beforeLines="50" w:afterLines="50"/>
              <w:jc w:val="center"/>
              <w:rPr>
                <w:rFonts w:ascii="宋体"/>
                <w:b/>
                <w:szCs w:val="21"/>
              </w:rPr>
            </w:pPr>
            <w:r w:rsidRPr="000B6B28">
              <w:rPr>
                <w:rFonts w:ascii="宋体" w:hAnsi="宋体" w:hint="eastAsia"/>
                <w:b/>
                <w:szCs w:val="21"/>
              </w:rPr>
              <w:t>数量</w:t>
            </w:r>
          </w:p>
        </w:tc>
        <w:tc>
          <w:tcPr>
            <w:tcW w:w="885" w:type="dxa"/>
            <w:vAlign w:val="center"/>
          </w:tcPr>
          <w:p w:rsidR="00610CF6" w:rsidRPr="000B6B28" w:rsidRDefault="00610CF6" w:rsidP="001C2A47">
            <w:pPr>
              <w:spacing w:beforeLines="50" w:afterLines="50"/>
              <w:jc w:val="center"/>
              <w:rPr>
                <w:rFonts w:ascii="宋体"/>
                <w:b/>
                <w:szCs w:val="21"/>
              </w:rPr>
            </w:pPr>
            <w:r w:rsidRPr="000B6B28">
              <w:rPr>
                <w:rFonts w:ascii="宋体" w:hAnsi="宋体" w:hint="eastAsia"/>
                <w:b/>
                <w:szCs w:val="21"/>
              </w:rPr>
              <w:t>备注</w:t>
            </w:r>
          </w:p>
        </w:tc>
      </w:tr>
      <w:tr w:rsidR="00610CF6" w:rsidRPr="000B6B28" w:rsidTr="001C2A47">
        <w:tc>
          <w:tcPr>
            <w:tcW w:w="675" w:type="dxa"/>
            <w:vAlign w:val="center"/>
          </w:tcPr>
          <w:p w:rsidR="00610CF6" w:rsidRPr="000B6B28" w:rsidRDefault="00610CF6" w:rsidP="001C2A47">
            <w:pPr>
              <w:spacing w:beforeLines="50" w:afterLines="50"/>
              <w:jc w:val="center"/>
              <w:rPr>
                <w:rFonts w:ascii="宋体" w:hAnsi="宋体"/>
                <w:b/>
                <w:szCs w:val="21"/>
              </w:rPr>
            </w:pPr>
            <w:r w:rsidRPr="000B6B28">
              <w:rPr>
                <w:rFonts w:ascii="宋体" w:hAnsi="宋体"/>
                <w:b/>
                <w:szCs w:val="21"/>
              </w:rPr>
              <w:t>1</w:t>
            </w:r>
          </w:p>
        </w:tc>
        <w:tc>
          <w:tcPr>
            <w:tcW w:w="993" w:type="dxa"/>
            <w:vAlign w:val="center"/>
          </w:tcPr>
          <w:p w:rsidR="00610CF6" w:rsidRPr="000B6B28" w:rsidRDefault="00610CF6" w:rsidP="001C2A47">
            <w:pPr>
              <w:rPr>
                <w:rFonts w:ascii="宋体" w:cs="宋体"/>
                <w:szCs w:val="21"/>
              </w:rPr>
            </w:pPr>
            <w:r w:rsidRPr="000B6B28">
              <w:rPr>
                <w:rFonts w:ascii="宋体" w:hAnsi="宋体" w:hint="eastAsia"/>
                <w:szCs w:val="21"/>
              </w:rPr>
              <w:t>交通仿真软件模块增加</w:t>
            </w:r>
          </w:p>
        </w:tc>
        <w:tc>
          <w:tcPr>
            <w:tcW w:w="4380" w:type="dxa"/>
            <w:vAlign w:val="center"/>
          </w:tcPr>
          <w:p w:rsidR="00610CF6" w:rsidRPr="000B6B28" w:rsidRDefault="00610CF6" w:rsidP="001C2A47">
            <w:pPr>
              <w:rPr>
                <w:rFonts w:ascii="宋体" w:hAnsi="宋体" w:cs="宋体"/>
                <w:sz w:val="20"/>
                <w:szCs w:val="20"/>
              </w:rPr>
            </w:pPr>
            <w:r w:rsidRPr="000B6B28">
              <w:rPr>
                <w:rFonts w:ascii="宋体" w:hAnsi="宋体" w:cs="宋体" w:hint="eastAsia"/>
                <w:sz w:val="20"/>
                <w:szCs w:val="20"/>
              </w:rPr>
              <w:t>1.交通微观仿真软件感应信号控制模块：能进行车辆感应控制编程，包括基于相位和基于阶段的方案，可通过流程图简化编辑。能应用在单个交叉口控制，公交优先控制，路网走廊的控制，包括VMS的速度控制和临时路肩车道控制等；</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2.交通微观仿真软件动态交通分配模块：能自动将车辆分配到路径上去。可以通告定义一个OD矩阵，把停车场分配到对应的交通小区，不需要手工输入静态路径；能提供大范围的路网的中观仿真。</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3.交通微观仿真软件基于相位的定时信号控制模块：能提供基于相位的定时信号控制的图形化的定义阶段和阶段过渡的编辑器。能自动创建相位过渡。能方便的延长或者缩短相位和相位过渡，提供一个导出PUA格式文件的接口，文件可以在感应信号控制里得到应用，能够创建感应控制中的相位和相位过渡；</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4.交通微观仿真软件3D模块：能从交通仿真软件中把路网数据和车辆位置信息导出到文本文件（TXT）里，该文件可被自动导入到 Autodesk</w:t>
            </w:r>
            <w:proofErr w:type="gramStart"/>
            <w:r w:rsidRPr="000B6B28">
              <w:rPr>
                <w:rFonts w:ascii="宋体" w:hAnsi="宋体" w:cs="宋体" w:hint="eastAsia"/>
                <w:sz w:val="20"/>
                <w:szCs w:val="20"/>
              </w:rPr>
              <w:t>’</w:t>
            </w:r>
            <w:proofErr w:type="gramEnd"/>
            <w:r w:rsidRPr="000B6B28">
              <w:rPr>
                <w:rFonts w:ascii="宋体" w:hAnsi="宋体" w:cs="宋体" w:hint="eastAsia"/>
                <w:sz w:val="20"/>
                <w:szCs w:val="20"/>
              </w:rPr>
              <w:t>s 3ds Max软件。能将DWF，3DS以及SKP文件转换为V3D文件；</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5.交通微观仿真软件二次开发接口：允许用户自定义的信号控制机采用DLL的形式进行整合。以读取相关信息（检测器信息，当前信号状态）和改写信号状态。</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允许执行跟车和变道模型。分配给交通仿真软件中的特殊车辆类型，可以覆盖标准的驾驶行为。</w:t>
            </w:r>
            <w:r w:rsidRPr="000B6B28">
              <w:rPr>
                <w:rFonts w:ascii="宋体" w:hAnsi="宋体" w:cs="宋体" w:hint="eastAsia"/>
                <w:sz w:val="20"/>
                <w:szCs w:val="20"/>
              </w:rPr>
              <w:lastRenderedPageBreak/>
              <w:t>能从SYNCHRO文件直接创建交通仿真。路网几何属性，流量，转向，车辆组成以及信号控制信息等都被导入交通仿真软件中。</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6．行人仿真模块：采用社会力模型；可同时模拟10万人；能导入通用格式的CAD文件，可导入和导出到第三方视图软件；能同时制作2D和3D动画，能与交通微观仿真软件无缝整合，可以在工程中综合分析个体交通、公共交通与行人的交互。</w:t>
            </w:r>
          </w:p>
        </w:tc>
        <w:tc>
          <w:tcPr>
            <w:tcW w:w="900" w:type="dxa"/>
            <w:vAlign w:val="center"/>
          </w:tcPr>
          <w:p w:rsidR="00610CF6" w:rsidRPr="000B6B28" w:rsidRDefault="00610CF6" w:rsidP="001C2A47">
            <w:pPr>
              <w:rPr>
                <w:rFonts w:ascii="宋体" w:cs="宋体"/>
                <w:szCs w:val="21"/>
              </w:rPr>
            </w:pPr>
            <w:r w:rsidRPr="000B6B28">
              <w:rPr>
                <w:rFonts w:ascii="宋体" w:hAnsi="宋体" w:hint="eastAsia"/>
                <w:szCs w:val="21"/>
              </w:rPr>
              <w:lastRenderedPageBreak/>
              <w:t>项</w:t>
            </w:r>
          </w:p>
        </w:tc>
        <w:tc>
          <w:tcPr>
            <w:tcW w:w="689" w:type="dxa"/>
            <w:vAlign w:val="center"/>
          </w:tcPr>
          <w:p w:rsidR="00610CF6" w:rsidRPr="000B6B28" w:rsidRDefault="00610CF6" w:rsidP="001C2A47">
            <w:pPr>
              <w:rPr>
                <w:rFonts w:ascii="宋体" w:cs="宋体"/>
                <w:szCs w:val="21"/>
              </w:rPr>
            </w:pPr>
            <w:r w:rsidRPr="000B6B28">
              <w:rPr>
                <w:rFonts w:ascii="宋体" w:hAnsi="宋体"/>
                <w:szCs w:val="21"/>
              </w:rPr>
              <w:t>1</w:t>
            </w:r>
          </w:p>
        </w:tc>
        <w:tc>
          <w:tcPr>
            <w:tcW w:w="885" w:type="dxa"/>
            <w:vAlign w:val="center"/>
          </w:tcPr>
          <w:p w:rsidR="00610CF6" w:rsidRPr="000B6B28" w:rsidRDefault="00610CF6" w:rsidP="001C2A47">
            <w:pPr>
              <w:spacing w:beforeLines="50" w:afterLines="50"/>
              <w:jc w:val="center"/>
              <w:rPr>
                <w:rFonts w:ascii="宋体"/>
                <w:b/>
                <w:szCs w:val="21"/>
              </w:rPr>
            </w:pPr>
          </w:p>
        </w:tc>
      </w:tr>
      <w:tr w:rsidR="00610CF6" w:rsidRPr="000B6B28" w:rsidTr="001C2A47">
        <w:trPr>
          <w:trHeight w:val="349"/>
        </w:trPr>
        <w:tc>
          <w:tcPr>
            <w:tcW w:w="675" w:type="dxa"/>
            <w:vAlign w:val="center"/>
          </w:tcPr>
          <w:p w:rsidR="00610CF6" w:rsidRPr="000B6B28" w:rsidRDefault="00610CF6" w:rsidP="001C2A47">
            <w:pPr>
              <w:spacing w:beforeLines="50" w:afterLines="50"/>
              <w:jc w:val="center"/>
              <w:rPr>
                <w:rFonts w:ascii="宋体" w:hAnsi="宋体"/>
                <w:b/>
                <w:szCs w:val="21"/>
              </w:rPr>
            </w:pPr>
            <w:r w:rsidRPr="000B6B28">
              <w:rPr>
                <w:rFonts w:ascii="宋体" w:hAnsi="宋体"/>
                <w:b/>
                <w:szCs w:val="21"/>
              </w:rPr>
              <w:lastRenderedPageBreak/>
              <w:t>2</w:t>
            </w:r>
          </w:p>
        </w:tc>
        <w:tc>
          <w:tcPr>
            <w:tcW w:w="993" w:type="dxa"/>
            <w:vAlign w:val="center"/>
          </w:tcPr>
          <w:p w:rsidR="00610CF6" w:rsidRPr="000B6B28" w:rsidRDefault="00610CF6" w:rsidP="001C2A47">
            <w:pPr>
              <w:rPr>
                <w:rFonts w:ascii="宋体" w:cs="宋体"/>
                <w:szCs w:val="21"/>
              </w:rPr>
            </w:pPr>
            <w:r w:rsidRPr="000B6B28">
              <w:rPr>
                <w:rFonts w:ascii="宋体" w:hAnsi="宋体" w:hint="eastAsia"/>
                <w:szCs w:val="21"/>
              </w:rPr>
              <w:t>交通微观仿真软件升级</w:t>
            </w:r>
          </w:p>
        </w:tc>
        <w:tc>
          <w:tcPr>
            <w:tcW w:w="4380" w:type="dxa"/>
            <w:vAlign w:val="center"/>
          </w:tcPr>
          <w:p w:rsidR="00610CF6" w:rsidRPr="000B6B28" w:rsidRDefault="00610CF6" w:rsidP="001C2A47">
            <w:pPr>
              <w:rPr>
                <w:rFonts w:ascii="宋体" w:hAnsi="宋体" w:cs="宋体"/>
                <w:sz w:val="20"/>
                <w:szCs w:val="20"/>
              </w:rPr>
            </w:pPr>
            <w:r w:rsidRPr="000B6B28">
              <w:rPr>
                <w:rFonts w:ascii="宋体" w:hAnsi="宋体" w:cs="宋体" w:hint="eastAsia"/>
                <w:sz w:val="20"/>
                <w:szCs w:val="20"/>
              </w:rPr>
              <w:t>1.将已有的3套交通仿真软件（Vissim5.2版本，Visum9.5版本）升级至该软件最新版本；</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2.将上述3套中的2套交通微观仿真软件扩容至10*10平方公里，20个信号控制机的规模；</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3.新增交通微观仿真软件1套：（1）能模拟不受限制的路网范围，仿真信号 控制机个数也不受限制；</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2）提供情景方案管理的功能，借助情景创建不同的规划方案并通过仿真结果进行比较。规划方案不必每次新建，而是可以基于初始情境任意优化，并以新的名称保存。基本路网中进行的更改也可应用于情境中。不仅可以针对一个情境进行调整，而且可以针对多个情境同时进行调整，并可一步存储；可以模拟对向车道超车。</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（3）能模拟多方式交通流，包括模拟小汽车、货车、公共汽车、地铁、轻轨、自行车和行人；</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（4）软件可以与脚本自动融合，自动化运行脚本；</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（5）能提供多次模拟运行，并且能在不同的计算机上对不同的模拟运行程序进行分布运行时保证运行的平行性。</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6）能对所有信号灯配时进行模拟，公交专用道的模拟，以及行人、自行车的模拟。可以模拟具有各种交通控制形式的交叉口，其中包含具有让行标志、停行标志、信号灯控制以及上述三种形式结合使用的交叉口。</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（7）能在模拟后输出一系列的计算指标参数结果，便于对设计的方案进行比较和评价，在软件内部查看多次仿真运行的结果。</w:t>
            </w:r>
          </w:p>
          <w:p w:rsidR="00610CF6" w:rsidRPr="000B6B28" w:rsidRDefault="00610CF6" w:rsidP="001C2A47">
            <w:pPr>
              <w:rPr>
                <w:rFonts w:ascii="宋体" w:hAnsi="宋体" w:cs="宋体"/>
                <w:sz w:val="20"/>
                <w:szCs w:val="20"/>
              </w:rPr>
            </w:pPr>
            <w:r w:rsidRPr="000B6B28">
              <w:rPr>
                <w:rFonts w:ascii="宋体" w:hAnsi="宋体" w:cs="宋体" w:hint="eastAsia"/>
                <w:sz w:val="20"/>
                <w:szCs w:val="20"/>
              </w:rPr>
              <w:t>（8）能提供可视化结果显示功能。软件进行评估时，能不受到任何其他系统限制，实现真正独立，能在软件上直接查询相关的数据和结果，其中包含</w:t>
            </w:r>
            <w:proofErr w:type="gramStart"/>
            <w:r w:rsidRPr="000B6B28">
              <w:rPr>
                <w:rFonts w:ascii="宋体" w:hAnsi="宋体" w:cs="宋体" w:hint="eastAsia"/>
                <w:sz w:val="20"/>
                <w:szCs w:val="20"/>
              </w:rPr>
              <w:t>聚合值</w:t>
            </w:r>
            <w:proofErr w:type="gramEnd"/>
            <w:r w:rsidRPr="000B6B28">
              <w:rPr>
                <w:rFonts w:ascii="宋体" w:hAnsi="宋体" w:cs="宋体" w:hint="eastAsia"/>
                <w:sz w:val="20"/>
                <w:szCs w:val="20"/>
              </w:rPr>
              <w:t>以及针对多个模拟系统运行的基本统计值。软件能直接包含所有数据并随时对其他不同种类表格进行处理，结果可以图表形式显</w:t>
            </w:r>
            <w:r w:rsidRPr="000B6B28">
              <w:rPr>
                <w:rFonts w:ascii="宋体" w:hAnsi="宋体" w:cs="宋体" w:hint="eastAsia"/>
                <w:sz w:val="20"/>
                <w:szCs w:val="20"/>
              </w:rPr>
              <w:lastRenderedPageBreak/>
              <w:t>示，同时，能支持网络分析、校准及进行最终结果展示。</w:t>
            </w:r>
          </w:p>
        </w:tc>
        <w:tc>
          <w:tcPr>
            <w:tcW w:w="900" w:type="dxa"/>
            <w:vAlign w:val="center"/>
          </w:tcPr>
          <w:p w:rsidR="00610CF6" w:rsidRPr="000B6B28" w:rsidRDefault="00610CF6" w:rsidP="001C2A47">
            <w:pPr>
              <w:rPr>
                <w:rFonts w:ascii="宋体" w:cs="宋体"/>
                <w:szCs w:val="21"/>
              </w:rPr>
            </w:pPr>
            <w:r w:rsidRPr="000B6B28">
              <w:rPr>
                <w:rFonts w:ascii="宋体" w:hAnsi="宋体" w:hint="eastAsia"/>
                <w:szCs w:val="21"/>
              </w:rPr>
              <w:lastRenderedPageBreak/>
              <w:t>项</w:t>
            </w:r>
          </w:p>
        </w:tc>
        <w:tc>
          <w:tcPr>
            <w:tcW w:w="689" w:type="dxa"/>
            <w:vAlign w:val="center"/>
          </w:tcPr>
          <w:p w:rsidR="00610CF6" w:rsidRPr="000B6B28" w:rsidRDefault="00610CF6" w:rsidP="001C2A47">
            <w:pPr>
              <w:rPr>
                <w:rFonts w:ascii="宋体" w:cs="宋体"/>
                <w:szCs w:val="21"/>
              </w:rPr>
            </w:pPr>
            <w:r w:rsidRPr="000B6B28">
              <w:rPr>
                <w:rFonts w:ascii="宋体" w:hAnsi="宋体"/>
                <w:szCs w:val="21"/>
              </w:rPr>
              <w:t>1</w:t>
            </w:r>
          </w:p>
        </w:tc>
        <w:tc>
          <w:tcPr>
            <w:tcW w:w="885" w:type="dxa"/>
            <w:vAlign w:val="center"/>
          </w:tcPr>
          <w:p w:rsidR="00610CF6" w:rsidRPr="000B6B28" w:rsidRDefault="00610CF6" w:rsidP="001C2A47">
            <w:pPr>
              <w:jc w:val="center"/>
              <w:rPr>
                <w:rFonts w:ascii="宋体"/>
                <w:szCs w:val="21"/>
              </w:rPr>
            </w:pPr>
          </w:p>
        </w:tc>
      </w:tr>
    </w:tbl>
    <w:p w:rsidR="00610CF6" w:rsidRPr="000B6B28" w:rsidRDefault="00610CF6" w:rsidP="00610CF6">
      <w:pPr>
        <w:spacing w:beforeLines="50" w:afterLines="50" w:line="360" w:lineRule="auto"/>
        <w:rPr>
          <w:b/>
        </w:rPr>
      </w:pPr>
      <w:r w:rsidRPr="000B6B28">
        <w:rPr>
          <w:rFonts w:hint="eastAsia"/>
          <w:b/>
        </w:rPr>
        <w:lastRenderedPageBreak/>
        <w:t>3</w:t>
      </w:r>
      <w:r w:rsidRPr="000B6B28">
        <w:rPr>
          <w:rFonts w:hint="eastAsia"/>
          <w:b/>
        </w:rPr>
        <w:t>、质保及售后服务要求</w:t>
      </w:r>
    </w:p>
    <w:p w:rsidR="00610CF6" w:rsidRPr="000B6B28" w:rsidRDefault="00610CF6" w:rsidP="00610CF6">
      <w:pPr>
        <w:spacing w:beforeLines="50" w:afterLines="50" w:line="360" w:lineRule="auto"/>
      </w:pPr>
      <w:r w:rsidRPr="000B6B28">
        <w:rPr>
          <w:rFonts w:hint="eastAsia"/>
        </w:rPr>
        <w:t xml:space="preserve">3.1 </w:t>
      </w:r>
      <w:r w:rsidRPr="000B6B28">
        <w:rPr>
          <w:rFonts w:hint="eastAsia"/>
        </w:rPr>
        <w:t>质保</w:t>
      </w:r>
      <w:r w:rsidRPr="000B6B28">
        <w:t>1</w:t>
      </w:r>
      <w:r w:rsidRPr="000B6B28">
        <w:rPr>
          <w:rFonts w:hint="eastAsia"/>
        </w:rPr>
        <w:t>年；</w:t>
      </w:r>
    </w:p>
    <w:p w:rsidR="00610CF6" w:rsidRPr="000B6B28" w:rsidRDefault="00610CF6" w:rsidP="00610CF6">
      <w:pPr>
        <w:spacing w:beforeLines="50" w:afterLines="50" w:line="360" w:lineRule="auto"/>
      </w:pPr>
      <w:r w:rsidRPr="000B6B28">
        <w:rPr>
          <w:rFonts w:hint="eastAsia"/>
        </w:rPr>
        <w:t xml:space="preserve">3.2 </w:t>
      </w:r>
      <w:r w:rsidRPr="000B6B28">
        <w:rPr>
          <w:rFonts w:hint="eastAsia"/>
        </w:rPr>
        <w:t>接到故障报修需求后</w:t>
      </w:r>
      <w:r w:rsidRPr="000B6B28">
        <w:t>2</w:t>
      </w:r>
      <w:r w:rsidRPr="000B6B28">
        <w:rPr>
          <w:rFonts w:hint="eastAsia"/>
        </w:rPr>
        <w:t>小时内响应；</w:t>
      </w:r>
    </w:p>
    <w:p w:rsidR="00610CF6" w:rsidRPr="000B6B28" w:rsidRDefault="00610CF6" w:rsidP="00610CF6">
      <w:pPr>
        <w:spacing w:beforeLines="50" w:afterLines="50" w:line="360" w:lineRule="auto"/>
      </w:pPr>
      <w:r w:rsidRPr="000B6B28">
        <w:rPr>
          <w:rFonts w:hint="eastAsia"/>
        </w:rPr>
        <w:t xml:space="preserve">3.3 </w:t>
      </w:r>
      <w:r w:rsidRPr="000B6B28">
        <w:rPr>
          <w:rFonts w:hint="eastAsia"/>
        </w:rPr>
        <w:t>提供免费软件使用培训；</w:t>
      </w:r>
    </w:p>
    <w:p w:rsidR="00610CF6" w:rsidRPr="000B6B28" w:rsidRDefault="00610CF6" w:rsidP="00610CF6">
      <w:pPr>
        <w:spacing w:beforeLines="50" w:afterLines="50" w:line="360" w:lineRule="auto"/>
      </w:pPr>
      <w:r w:rsidRPr="000B6B28">
        <w:rPr>
          <w:rFonts w:hint="eastAsia"/>
        </w:rPr>
        <w:t xml:space="preserve">3.4 </w:t>
      </w:r>
      <w:r w:rsidRPr="000B6B28">
        <w:rPr>
          <w:rFonts w:hint="eastAsia"/>
        </w:rPr>
        <w:t>需提供详细的售后服务方案。</w:t>
      </w:r>
    </w:p>
    <w:p w:rsidR="00610CF6" w:rsidRPr="000B6B28" w:rsidRDefault="00610CF6" w:rsidP="00610CF6">
      <w:pPr>
        <w:spacing w:line="440" w:lineRule="exact"/>
        <w:ind w:firstLineChars="200" w:firstLine="420"/>
        <w:rPr>
          <w:rFonts w:eastAsia="黑体"/>
          <w:sz w:val="20"/>
          <w:szCs w:val="20"/>
        </w:rPr>
      </w:pPr>
      <w:r w:rsidRPr="000B6B28">
        <w:rPr>
          <w:rFonts w:hint="eastAsia"/>
          <w:szCs w:val="21"/>
        </w:rPr>
        <w:t>上述技术要求和其他要求，仅作为报价人编制报价文件和参加谈判时之参考。通过谈判，最终确定符合采购需求的技术指标及相关要求。</w:t>
      </w:r>
    </w:p>
    <w:p w:rsidR="00C62726" w:rsidRPr="00610CF6" w:rsidRDefault="00C62726"/>
    <w:sectPr w:rsidR="00C62726" w:rsidRPr="00610CF6" w:rsidSect="00672092">
      <w:pgSz w:w="11906" w:h="16838"/>
      <w:pgMar w:top="1440" w:right="1797" w:bottom="1440" w:left="1797"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0CF6"/>
    <w:rsid w:val="00000039"/>
    <w:rsid w:val="00002999"/>
    <w:rsid w:val="00006574"/>
    <w:rsid w:val="00007D3E"/>
    <w:rsid w:val="000118D1"/>
    <w:rsid w:val="00013394"/>
    <w:rsid w:val="00021978"/>
    <w:rsid w:val="00023412"/>
    <w:rsid w:val="00024663"/>
    <w:rsid w:val="00026F7A"/>
    <w:rsid w:val="00027B2F"/>
    <w:rsid w:val="00027B88"/>
    <w:rsid w:val="0003223F"/>
    <w:rsid w:val="00033284"/>
    <w:rsid w:val="000336E7"/>
    <w:rsid w:val="00033CAD"/>
    <w:rsid w:val="000350B4"/>
    <w:rsid w:val="000357F2"/>
    <w:rsid w:val="00040CA2"/>
    <w:rsid w:val="00042400"/>
    <w:rsid w:val="00042AD2"/>
    <w:rsid w:val="00045906"/>
    <w:rsid w:val="00045EF9"/>
    <w:rsid w:val="00050E02"/>
    <w:rsid w:val="00050ECB"/>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3121"/>
    <w:rsid w:val="000B4C70"/>
    <w:rsid w:val="000B4EFD"/>
    <w:rsid w:val="000B4F7E"/>
    <w:rsid w:val="000C1B79"/>
    <w:rsid w:val="000C20C2"/>
    <w:rsid w:val="000C2608"/>
    <w:rsid w:val="000C2973"/>
    <w:rsid w:val="000C2B95"/>
    <w:rsid w:val="000C2D6A"/>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7AE8"/>
    <w:rsid w:val="00110680"/>
    <w:rsid w:val="00110984"/>
    <w:rsid w:val="0011169E"/>
    <w:rsid w:val="001131CB"/>
    <w:rsid w:val="00116E46"/>
    <w:rsid w:val="001202F3"/>
    <w:rsid w:val="001219CC"/>
    <w:rsid w:val="001222F5"/>
    <w:rsid w:val="00122580"/>
    <w:rsid w:val="00123CD6"/>
    <w:rsid w:val="001253DA"/>
    <w:rsid w:val="00125F2E"/>
    <w:rsid w:val="001261C5"/>
    <w:rsid w:val="00126486"/>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9E1"/>
    <w:rsid w:val="00180B0D"/>
    <w:rsid w:val="00181E40"/>
    <w:rsid w:val="0018326C"/>
    <w:rsid w:val="0018356B"/>
    <w:rsid w:val="001835FA"/>
    <w:rsid w:val="00183C24"/>
    <w:rsid w:val="00186DE5"/>
    <w:rsid w:val="001876FB"/>
    <w:rsid w:val="00193C4A"/>
    <w:rsid w:val="00194473"/>
    <w:rsid w:val="00195510"/>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19D"/>
    <w:rsid w:val="001E5AAF"/>
    <w:rsid w:val="001E7883"/>
    <w:rsid w:val="001F1064"/>
    <w:rsid w:val="001F1BF0"/>
    <w:rsid w:val="001F1F14"/>
    <w:rsid w:val="001F2533"/>
    <w:rsid w:val="001F2C9C"/>
    <w:rsid w:val="001F36F0"/>
    <w:rsid w:val="001F3B11"/>
    <w:rsid w:val="001F6104"/>
    <w:rsid w:val="001F6154"/>
    <w:rsid w:val="001F6FC6"/>
    <w:rsid w:val="001F76D5"/>
    <w:rsid w:val="00200AB7"/>
    <w:rsid w:val="00200B7F"/>
    <w:rsid w:val="002013DB"/>
    <w:rsid w:val="00201F5A"/>
    <w:rsid w:val="002022F0"/>
    <w:rsid w:val="002028F1"/>
    <w:rsid w:val="002029CB"/>
    <w:rsid w:val="002040AA"/>
    <w:rsid w:val="00205FE5"/>
    <w:rsid w:val="00211120"/>
    <w:rsid w:val="002142D9"/>
    <w:rsid w:val="002142F5"/>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953"/>
    <w:rsid w:val="00250211"/>
    <w:rsid w:val="00251BFA"/>
    <w:rsid w:val="002526EA"/>
    <w:rsid w:val="0025283B"/>
    <w:rsid w:val="0025295E"/>
    <w:rsid w:val="002535FE"/>
    <w:rsid w:val="00257993"/>
    <w:rsid w:val="00261B2F"/>
    <w:rsid w:val="00261C88"/>
    <w:rsid w:val="002635B5"/>
    <w:rsid w:val="0026454B"/>
    <w:rsid w:val="0026694A"/>
    <w:rsid w:val="00273252"/>
    <w:rsid w:val="00274D53"/>
    <w:rsid w:val="002775AE"/>
    <w:rsid w:val="002835CD"/>
    <w:rsid w:val="00284D56"/>
    <w:rsid w:val="00287445"/>
    <w:rsid w:val="00290A04"/>
    <w:rsid w:val="002939BA"/>
    <w:rsid w:val="00294328"/>
    <w:rsid w:val="00294B1B"/>
    <w:rsid w:val="002968BE"/>
    <w:rsid w:val="0029797E"/>
    <w:rsid w:val="002A0A71"/>
    <w:rsid w:val="002A1304"/>
    <w:rsid w:val="002A13E1"/>
    <w:rsid w:val="002A477F"/>
    <w:rsid w:val="002B0AA3"/>
    <w:rsid w:val="002B1680"/>
    <w:rsid w:val="002B23D0"/>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223AB"/>
    <w:rsid w:val="00326248"/>
    <w:rsid w:val="0033228F"/>
    <w:rsid w:val="00333476"/>
    <w:rsid w:val="00334B86"/>
    <w:rsid w:val="00336376"/>
    <w:rsid w:val="003373A3"/>
    <w:rsid w:val="003406A2"/>
    <w:rsid w:val="0034075D"/>
    <w:rsid w:val="00341811"/>
    <w:rsid w:val="003432CC"/>
    <w:rsid w:val="00343902"/>
    <w:rsid w:val="0034559B"/>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39C3"/>
    <w:rsid w:val="003C65A5"/>
    <w:rsid w:val="003D149B"/>
    <w:rsid w:val="003D1B8D"/>
    <w:rsid w:val="003D3A15"/>
    <w:rsid w:val="003D6BB6"/>
    <w:rsid w:val="003E0D9F"/>
    <w:rsid w:val="003E292D"/>
    <w:rsid w:val="003E3279"/>
    <w:rsid w:val="003E3FD5"/>
    <w:rsid w:val="003E4058"/>
    <w:rsid w:val="003F2018"/>
    <w:rsid w:val="003F337B"/>
    <w:rsid w:val="003F354E"/>
    <w:rsid w:val="003F4991"/>
    <w:rsid w:val="003F5022"/>
    <w:rsid w:val="003F77DE"/>
    <w:rsid w:val="00400541"/>
    <w:rsid w:val="00401927"/>
    <w:rsid w:val="00402D98"/>
    <w:rsid w:val="00403439"/>
    <w:rsid w:val="00403611"/>
    <w:rsid w:val="00404A08"/>
    <w:rsid w:val="00406554"/>
    <w:rsid w:val="00407EB7"/>
    <w:rsid w:val="004151AB"/>
    <w:rsid w:val="004159D2"/>
    <w:rsid w:val="004234CF"/>
    <w:rsid w:val="0042363B"/>
    <w:rsid w:val="00424979"/>
    <w:rsid w:val="00430D4F"/>
    <w:rsid w:val="004313BC"/>
    <w:rsid w:val="00441D20"/>
    <w:rsid w:val="00442F96"/>
    <w:rsid w:val="004442F2"/>
    <w:rsid w:val="00444D80"/>
    <w:rsid w:val="004459FC"/>
    <w:rsid w:val="004467AD"/>
    <w:rsid w:val="004519F8"/>
    <w:rsid w:val="00457ECA"/>
    <w:rsid w:val="00460E89"/>
    <w:rsid w:val="00464826"/>
    <w:rsid w:val="00467B08"/>
    <w:rsid w:val="00470387"/>
    <w:rsid w:val="0047577F"/>
    <w:rsid w:val="00481A1D"/>
    <w:rsid w:val="00481C23"/>
    <w:rsid w:val="00484375"/>
    <w:rsid w:val="00484F4F"/>
    <w:rsid w:val="004906CD"/>
    <w:rsid w:val="00490FB0"/>
    <w:rsid w:val="0049106B"/>
    <w:rsid w:val="004911C7"/>
    <w:rsid w:val="00492439"/>
    <w:rsid w:val="00497316"/>
    <w:rsid w:val="004A0DB7"/>
    <w:rsid w:val="004A1FF9"/>
    <w:rsid w:val="004A2AC2"/>
    <w:rsid w:val="004A5918"/>
    <w:rsid w:val="004A6023"/>
    <w:rsid w:val="004A6409"/>
    <w:rsid w:val="004A6D68"/>
    <w:rsid w:val="004A6F97"/>
    <w:rsid w:val="004B5FF9"/>
    <w:rsid w:val="004B6D70"/>
    <w:rsid w:val="004B7354"/>
    <w:rsid w:val="004B78A3"/>
    <w:rsid w:val="004C1AB5"/>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01"/>
    <w:rsid w:val="00507120"/>
    <w:rsid w:val="005116BC"/>
    <w:rsid w:val="005143CE"/>
    <w:rsid w:val="0052144D"/>
    <w:rsid w:val="00524E99"/>
    <w:rsid w:val="00524EF4"/>
    <w:rsid w:val="00525224"/>
    <w:rsid w:val="0052622E"/>
    <w:rsid w:val="00526AD2"/>
    <w:rsid w:val="005325A3"/>
    <w:rsid w:val="00532C8C"/>
    <w:rsid w:val="005348E3"/>
    <w:rsid w:val="00534CBB"/>
    <w:rsid w:val="00535504"/>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864"/>
    <w:rsid w:val="00596775"/>
    <w:rsid w:val="00597CCA"/>
    <w:rsid w:val="005A1B9E"/>
    <w:rsid w:val="005A263F"/>
    <w:rsid w:val="005A26E6"/>
    <w:rsid w:val="005A4C21"/>
    <w:rsid w:val="005A7F75"/>
    <w:rsid w:val="005B0611"/>
    <w:rsid w:val="005B16C5"/>
    <w:rsid w:val="005B1F26"/>
    <w:rsid w:val="005B3F35"/>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64EB"/>
    <w:rsid w:val="005E684F"/>
    <w:rsid w:val="005F0881"/>
    <w:rsid w:val="005F27D7"/>
    <w:rsid w:val="005F2D06"/>
    <w:rsid w:val="005F2F66"/>
    <w:rsid w:val="005F351F"/>
    <w:rsid w:val="005F4587"/>
    <w:rsid w:val="005F570C"/>
    <w:rsid w:val="005F718C"/>
    <w:rsid w:val="00600FE1"/>
    <w:rsid w:val="00601485"/>
    <w:rsid w:val="00604AD4"/>
    <w:rsid w:val="0060690B"/>
    <w:rsid w:val="00607E15"/>
    <w:rsid w:val="00610CF6"/>
    <w:rsid w:val="006136CC"/>
    <w:rsid w:val="00615407"/>
    <w:rsid w:val="0062110C"/>
    <w:rsid w:val="0062111D"/>
    <w:rsid w:val="00622789"/>
    <w:rsid w:val="00624932"/>
    <w:rsid w:val="00625E2A"/>
    <w:rsid w:val="006267CC"/>
    <w:rsid w:val="00631D8F"/>
    <w:rsid w:val="006339F2"/>
    <w:rsid w:val="00641745"/>
    <w:rsid w:val="0064336C"/>
    <w:rsid w:val="00643C36"/>
    <w:rsid w:val="00643C3D"/>
    <w:rsid w:val="00645961"/>
    <w:rsid w:val="00650ACD"/>
    <w:rsid w:val="0065113D"/>
    <w:rsid w:val="00653A44"/>
    <w:rsid w:val="00654031"/>
    <w:rsid w:val="00660033"/>
    <w:rsid w:val="00660F71"/>
    <w:rsid w:val="00661BDD"/>
    <w:rsid w:val="00664367"/>
    <w:rsid w:val="00665487"/>
    <w:rsid w:val="00666C6A"/>
    <w:rsid w:val="006676A2"/>
    <w:rsid w:val="00675F46"/>
    <w:rsid w:val="0067689B"/>
    <w:rsid w:val="00676D6C"/>
    <w:rsid w:val="006775FA"/>
    <w:rsid w:val="006814EB"/>
    <w:rsid w:val="00681635"/>
    <w:rsid w:val="00681B46"/>
    <w:rsid w:val="00683A58"/>
    <w:rsid w:val="00684A39"/>
    <w:rsid w:val="006866D8"/>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721A"/>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45081"/>
    <w:rsid w:val="007502F2"/>
    <w:rsid w:val="00750DC3"/>
    <w:rsid w:val="00751472"/>
    <w:rsid w:val="00754B78"/>
    <w:rsid w:val="007550BF"/>
    <w:rsid w:val="007556CC"/>
    <w:rsid w:val="0075575E"/>
    <w:rsid w:val="007604B1"/>
    <w:rsid w:val="00760827"/>
    <w:rsid w:val="00762BD4"/>
    <w:rsid w:val="00763240"/>
    <w:rsid w:val="00763B1F"/>
    <w:rsid w:val="007644FD"/>
    <w:rsid w:val="00765C86"/>
    <w:rsid w:val="00765CFF"/>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486C"/>
    <w:rsid w:val="007A00DD"/>
    <w:rsid w:val="007A053E"/>
    <w:rsid w:val="007A1027"/>
    <w:rsid w:val="007A3569"/>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E12D4"/>
    <w:rsid w:val="007E136F"/>
    <w:rsid w:val="007E2DE4"/>
    <w:rsid w:val="007F3317"/>
    <w:rsid w:val="007F4B30"/>
    <w:rsid w:val="007F4EE4"/>
    <w:rsid w:val="007F564C"/>
    <w:rsid w:val="00800D37"/>
    <w:rsid w:val="00801282"/>
    <w:rsid w:val="00801C45"/>
    <w:rsid w:val="00802520"/>
    <w:rsid w:val="008035BD"/>
    <w:rsid w:val="00806AAD"/>
    <w:rsid w:val="00810070"/>
    <w:rsid w:val="00812F82"/>
    <w:rsid w:val="008137E1"/>
    <w:rsid w:val="0081459A"/>
    <w:rsid w:val="00816802"/>
    <w:rsid w:val="00816CE1"/>
    <w:rsid w:val="00820C72"/>
    <w:rsid w:val="00822DD6"/>
    <w:rsid w:val="008253F1"/>
    <w:rsid w:val="00826061"/>
    <w:rsid w:val="00827F65"/>
    <w:rsid w:val="00833A08"/>
    <w:rsid w:val="0083445C"/>
    <w:rsid w:val="00837229"/>
    <w:rsid w:val="008376B0"/>
    <w:rsid w:val="0083774E"/>
    <w:rsid w:val="00837B53"/>
    <w:rsid w:val="00842137"/>
    <w:rsid w:val="00842C7D"/>
    <w:rsid w:val="0085275E"/>
    <w:rsid w:val="00855C58"/>
    <w:rsid w:val="00856098"/>
    <w:rsid w:val="008577B8"/>
    <w:rsid w:val="00857AC4"/>
    <w:rsid w:val="00861C3C"/>
    <w:rsid w:val="00862332"/>
    <w:rsid w:val="008624C6"/>
    <w:rsid w:val="00862A0B"/>
    <w:rsid w:val="00864257"/>
    <w:rsid w:val="00865906"/>
    <w:rsid w:val="00870CA6"/>
    <w:rsid w:val="00871935"/>
    <w:rsid w:val="0087211E"/>
    <w:rsid w:val="00872EEB"/>
    <w:rsid w:val="00873655"/>
    <w:rsid w:val="0087432A"/>
    <w:rsid w:val="0088140A"/>
    <w:rsid w:val="00881C40"/>
    <w:rsid w:val="00885A32"/>
    <w:rsid w:val="00886BB5"/>
    <w:rsid w:val="00886C05"/>
    <w:rsid w:val="00887557"/>
    <w:rsid w:val="00897178"/>
    <w:rsid w:val="008A0332"/>
    <w:rsid w:val="008A3C33"/>
    <w:rsid w:val="008A53BE"/>
    <w:rsid w:val="008A7904"/>
    <w:rsid w:val="008B5BCE"/>
    <w:rsid w:val="008B6253"/>
    <w:rsid w:val="008B66A2"/>
    <w:rsid w:val="008C21B9"/>
    <w:rsid w:val="008C3450"/>
    <w:rsid w:val="008C3E66"/>
    <w:rsid w:val="008C5516"/>
    <w:rsid w:val="008C5D53"/>
    <w:rsid w:val="008C6C81"/>
    <w:rsid w:val="008C7CAA"/>
    <w:rsid w:val="008D6E83"/>
    <w:rsid w:val="008E2500"/>
    <w:rsid w:val="008E3090"/>
    <w:rsid w:val="008E41DD"/>
    <w:rsid w:val="008E60EE"/>
    <w:rsid w:val="008E6C93"/>
    <w:rsid w:val="008F1D59"/>
    <w:rsid w:val="008F33A1"/>
    <w:rsid w:val="008F4083"/>
    <w:rsid w:val="008F4763"/>
    <w:rsid w:val="008F5310"/>
    <w:rsid w:val="008F5589"/>
    <w:rsid w:val="008F70D2"/>
    <w:rsid w:val="008F7A91"/>
    <w:rsid w:val="00900C58"/>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5240"/>
    <w:rsid w:val="00926D91"/>
    <w:rsid w:val="00927F9F"/>
    <w:rsid w:val="00934169"/>
    <w:rsid w:val="00937602"/>
    <w:rsid w:val="0094231B"/>
    <w:rsid w:val="0094237E"/>
    <w:rsid w:val="00942718"/>
    <w:rsid w:val="00943C77"/>
    <w:rsid w:val="00945577"/>
    <w:rsid w:val="00945C2E"/>
    <w:rsid w:val="00947BF3"/>
    <w:rsid w:val="009514BA"/>
    <w:rsid w:val="00952BBE"/>
    <w:rsid w:val="00953577"/>
    <w:rsid w:val="009600AC"/>
    <w:rsid w:val="0096290A"/>
    <w:rsid w:val="00962E11"/>
    <w:rsid w:val="0096405A"/>
    <w:rsid w:val="00965E7D"/>
    <w:rsid w:val="0096677D"/>
    <w:rsid w:val="009668E7"/>
    <w:rsid w:val="00970E3C"/>
    <w:rsid w:val="0097166C"/>
    <w:rsid w:val="00976774"/>
    <w:rsid w:val="00977B35"/>
    <w:rsid w:val="009801CC"/>
    <w:rsid w:val="00980DD1"/>
    <w:rsid w:val="0098161C"/>
    <w:rsid w:val="00981869"/>
    <w:rsid w:val="009820E6"/>
    <w:rsid w:val="00983C90"/>
    <w:rsid w:val="009872DE"/>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C00E4"/>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5B1"/>
    <w:rsid w:val="009E1728"/>
    <w:rsid w:val="009E1C0A"/>
    <w:rsid w:val="009E54CF"/>
    <w:rsid w:val="009F1251"/>
    <w:rsid w:val="009F15F1"/>
    <w:rsid w:val="009F27F5"/>
    <w:rsid w:val="009F324F"/>
    <w:rsid w:val="009F4D24"/>
    <w:rsid w:val="009F50B8"/>
    <w:rsid w:val="009F56BC"/>
    <w:rsid w:val="00A0157D"/>
    <w:rsid w:val="00A05DB0"/>
    <w:rsid w:val="00A06A01"/>
    <w:rsid w:val="00A109C1"/>
    <w:rsid w:val="00A17DAA"/>
    <w:rsid w:val="00A20FA1"/>
    <w:rsid w:val="00A2331B"/>
    <w:rsid w:val="00A242D9"/>
    <w:rsid w:val="00A24C9F"/>
    <w:rsid w:val="00A254C4"/>
    <w:rsid w:val="00A257B2"/>
    <w:rsid w:val="00A26B5E"/>
    <w:rsid w:val="00A26ED8"/>
    <w:rsid w:val="00A2753A"/>
    <w:rsid w:val="00A300A5"/>
    <w:rsid w:val="00A3027A"/>
    <w:rsid w:val="00A31035"/>
    <w:rsid w:val="00A31BA3"/>
    <w:rsid w:val="00A31F9A"/>
    <w:rsid w:val="00A32B14"/>
    <w:rsid w:val="00A32F80"/>
    <w:rsid w:val="00A349A7"/>
    <w:rsid w:val="00A349FC"/>
    <w:rsid w:val="00A367DE"/>
    <w:rsid w:val="00A37047"/>
    <w:rsid w:val="00A4047E"/>
    <w:rsid w:val="00A40A85"/>
    <w:rsid w:val="00A456F0"/>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B37"/>
    <w:rsid w:val="00AB0CDF"/>
    <w:rsid w:val="00AB1C5A"/>
    <w:rsid w:val="00AB4979"/>
    <w:rsid w:val="00AB529F"/>
    <w:rsid w:val="00AB5644"/>
    <w:rsid w:val="00AB667B"/>
    <w:rsid w:val="00AC3834"/>
    <w:rsid w:val="00AC4F4D"/>
    <w:rsid w:val="00AC50F3"/>
    <w:rsid w:val="00AC6711"/>
    <w:rsid w:val="00AD3A88"/>
    <w:rsid w:val="00AD428C"/>
    <w:rsid w:val="00AD54E5"/>
    <w:rsid w:val="00AD6005"/>
    <w:rsid w:val="00AD6F85"/>
    <w:rsid w:val="00AD7C49"/>
    <w:rsid w:val="00AE0444"/>
    <w:rsid w:val="00AE19A4"/>
    <w:rsid w:val="00AE6319"/>
    <w:rsid w:val="00AF0171"/>
    <w:rsid w:val="00AF02B3"/>
    <w:rsid w:val="00AF0C06"/>
    <w:rsid w:val="00AF4E5A"/>
    <w:rsid w:val="00AF4F67"/>
    <w:rsid w:val="00AF741C"/>
    <w:rsid w:val="00B0015F"/>
    <w:rsid w:val="00B03D00"/>
    <w:rsid w:val="00B049E4"/>
    <w:rsid w:val="00B04F33"/>
    <w:rsid w:val="00B075BB"/>
    <w:rsid w:val="00B07AF2"/>
    <w:rsid w:val="00B1005A"/>
    <w:rsid w:val="00B1005F"/>
    <w:rsid w:val="00B1157E"/>
    <w:rsid w:val="00B11E4E"/>
    <w:rsid w:val="00B1263E"/>
    <w:rsid w:val="00B12ED6"/>
    <w:rsid w:val="00B1596D"/>
    <w:rsid w:val="00B162E7"/>
    <w:rsid w:val="00B178CD"/>
    <w:rsid w:val="00B23FED"/>
    <w:rsid w:val="00B2585D"/>
    <w:rsid w:val="00B301F1"/>
    <w:rsid w:val="00B35CCA"/>
    <w:rsid w:val="00B36FE1"/>
    <w:rsid w:val="00B403BD"/>
    <w:rsid w:val="00B42B96"/>
    <w:rsid w:val="00B44B18"/>
    <w:rsid w:val="00B44E8B"/>
    <w:rsid w:val="00B4632C"/>
    <w:rsid w:val="00B501AB"/>
    <w:rsid w:val="00B51E90"/>
    <w:rsid w:val="00B52A58"/>
    <w:rsid w:val="00B52D8C"/>
    <w:rsid w:val="00B52E3E"/>
    <w:rsid w:val="00B535F7"/>
    <w:rsid w:val="00B54917"/>
    <w:rsid w:val="00B57E7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B0245"/>
    <w:rsid w:val="00BB07C0"/>
    <w:rsid w:val="00BB3E1B"/>
    <w:rsid w:val="00BB408B"/>
    <w:rsid w:val="00BB47D1"/>
    <w:rsid w:val="00BB7829"/>
    <w:rsid w:val="00BC0BCA"/>
    <w:rsid w:val="00BC4EA6"/>
    <w:rsid w:val="00BC5EF0"/>
    <w:rsid w:val="00BD1A64"/>
    <w:rsid w:val="00BD39A2"/>
    <w:rsid w:val="00BD46A1"/>
    <w:rsid w:val="00BD46C1"/>
    <w:rsid w:val="00BD7768"/>
    <w:rsid w:val="00BD7E51"/>
    <w:rsid w:val="00BE0BA8"/>
    <w:rsid w:val="00BE23DD"/>
    <w:rsid w:val="00BE5AB9"/>
    <w:rsid w:val="00BE61D0"/>
    <w:rsid w:val="00BE61E9"/>
    <w:rsid w:val="00BE62A7"/>
    <w:rsid w:val="00BE661A"/>
    <w:rsid w:val="00BE727B"/>
    <w:rsid w:val="00BF1BB4"/>
    <w:rsid w:val="00BF2FA1"/>
    <w:rsid w:val="00BF33CA"/>
    <w:rsid w:val="00BF33DA"/>
    <w:rsid w:val="00BF530A"/>
    <w:rsid w:val="00BF5A61"/>
    <w:rsid w:val="00BF766B"/>
    <w:rsid w:val="00BF78C2"/>
    <w:rsid w:val="00BF7AE2"/>
    <w:rsid w:val="00C00E1E"/>
    <w:rsid w:val="00C00E74"/>
    <w:rsid w:val="00C03327"/>
    <w:rsid w:val="00C034A6"/>
    <w:rsid w:val="00C1596F"/>
    <w:rsid w:val="00C1754E"/>
    <w:rsid w:val="00C20891"/>
    <w:rsid w:val="00C232DB"/>
    <w:rsid w:val="00C23346"/>
    <w:rsid w:val="00C26632"/>
    <w:rsid w:val="00C268DF"/>
    <w:rsid w:val="00C320C4"/>
    <w:rsid w:val="00C33916"/>
    <w:rsid w:val="00C34B0D"/>
    <w:rsid w:val="00C36D2B"/>
    <w:rsid w:val="00C40CF3"/>
    <w:rsid w:val="00C413AF"/>
    <w:rsid w:val="00C4168A"/>
    <w:rsid w:val="00C4363C"/>
    <w:rsid w:val="00C47793"/>
    <w:rsid w:val="00C477F1"/>
    <w:rsid w:val="00C47A9F"/>
    <w:rsid w:val="00C508E4"/>
    <w:rsid w:val="00C52030"/>
    <w:rsid w:val="00C52085"/>
    <w:rsid w:val="00C53036"/>
    <w:rsid w:val="00C5412A"/>
    <w:rsid w:val="00C554AB"/>
    <w:rsid w:val="00C556F1"/>
    <w:rsid w:val="00C5577B"/>
    <w:rsid w:val="00C562A4"/>
    <w:rsid w:val="00C56AB5"/>
    <w:rsid w:val="00C56BF2"/>
    <w:rsid w:val="00C571A8"/>
    <w:rsid w:val="00C609F8"/>
    <w:rsid w:val="00C62726"/>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913D4"/>
    <w:rsid w:val="00C92CA3"/>
    <w:rsid w:val="00C931E0"/>
    <w:rsid w:val="00C9696E"/>
    <w:rsid w:val="00CA41E4"/>
    <w:rsid w:val="00CA6A29"/>
    <w:rsid w:val="00CA78C6"/>
    <w:rsid w:val="00CA7982"/>
    <w:rsid w:val="00CB13AF"/>
    <w:rsid w:val="00CB4013"/>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4B7C"/>
    <w:rsid w:val="00D15455"/>
    <w:rsid w:val="00D20AE2"/>
    <w:rsid w:val="00D20C2B"/>
    <w:rsid w:val="00D215A1"/>
    <w:rsid w:val="00D25301"/>
    <w:rsid w:val="00D27209"/>
    <w:rsid w:val="00D275BF"/>
    <w:rsid w:val="00D27EE8"/>
    <w:rsid w:val="00D30089"/>
    <w:rsid w:val="00D30F21"/>
    <w:rsid w:val="00D3398C"/>
    <w:rsid w:val="00D350FF"/>
    <w:rsid w:val="00D35F18"/>
    <w:rsid w:val="00D36B77"/>
    <w:rsid w:val="00D40FB3"/>
    <w:rsid w:val="00D42043"/>
    <w:rsid w:val="00D4248F"/>
    <w:rsid w:val="00D44B15"/>
    <w:rsid w:val="00D46E17"/>
    <w:rsid w:val="00D46F07"/>
    <w:rsid w:val="00D50673"/>
    <w:rsid w:val="00D50EB7"/>
    <w:rsid w:val="00D54BAE"/>
    <w:rsid w:val="00D55911"/>
    <w:rsid w:val="00D610E9"/>
    <w:rsid w:val="00D63421"/>
    <w:rsid w:val="00D667F6"/>
    <w:rsid w:val="00D70CC5"/>
    <w:rsid w:val="00D71931"/>
    <w:rsid w:val="00D74EA4"/>
    <w:rsid w:val="00D81DFE"/>
    <w:rsid w:val="00D87641"/>
    <w:rsid w:val="00D9090A"/>
    <w:rsid w:val="00D92505"/>
    <w:rsid w:val="00D94A6B"/>
    <w:rsid w:val="00D9501A"/>
    <w:rsid w:val="00D973A1"/>
    <w:rsid w:val="00DA05D9"/>
    <w:rsid w:val="00DA1811"/>
    <w:rsid w:val="00DA555D"/>
    <w:rsid w:val="00DA602C"/>
    <w:rsid w:val="00DA6A9E"/>
    <w:rsid w:val="00DA770B"/>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319A"/>
    <w:rsid w:val="00DD357A"/>
    <w:rsid w:val="00DD379F"/>
    <w:rsid w:val="00DD7C45"/>
    <w:rsid w:val="00DE2319"/>
    <w:rsid w:val="00DE2C19"/>
    <w:rsid w:val="00DE3662"/>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5B9D"/>
    <w:rsid w:val="00E06467"/>
    <w:rsid w:val="00E07424"/>
    <w:rsid w:val="00E07AE4"/>
    <w:rsid w:val="00E10ADD"/>
    <w:rsid w:val="00E12219"/>
    <w:rsid w:val="00E12F9E"/>
    <w:rsid w:val="00E153F8"/>
    <w:rsid w:val="00E22F11"/>
    <w:rsid w:val="00E230B2"/>
    <w:rsid w:val="00E25B05"/>
    <w:rsid w:val="00E2697F"/>
    <w:rsid w:val="00E26DFD"/>
    <w:rsid w:val="00E26E5C"/>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62195"/>
    <w:rsid w:val="00E6361A"/>
    <w:rsid w:val="00E73E71"/>
    <w:rsid w:val="00E77A4E"/>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377E"/>
    <w:rsid w:val="00EB3DA2"/>
    <w:rsid w:val="00EB446C"/>
    <w:rsid w:val="00EB4B33"/>
    <w:rsid w:val="00EC2495"/>
    <w:rsid w:val="00EC5307"/>
    <w:rsid w:val="00ED0E7D"/>
    <w:rsid w:val="00ED12DD"/>
    <w:rsid w:val="00ED194F"/>
    <w:rsid w:val="00ED49F3"/>
    <w:rsid w:val="00ED4CEA"/>
    <w:rsid w:val="00ED6321"/>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549F"/>
    <w:rsid w:val="00F15F67"/>
    <w:rsid w:val="00F16455"/>
    <w:rsid w:val="00F209A0"/>
    <w:rsid w:val="00F227CC"/>
    <w:rsid w:val="00F22ADE"/>
    <w:rsid w:val="00F249D4"/>
    <w:rsid w:val="00F26A95"/>
    <w:rsid w:val="00F316ED"/>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3D5B"/>
    <w:rsid w:val="00F641F1"/>
    <w:rsid w:val="00F65D28"/>
    <w:rsid w:val="00F66531"/>
    <w:rsid w:val="00F72CCC"/>
    <w:rsid w:val="00F73C1F"/>
    <w:rsid w:val="00F761EF"/>
    <w:rsid w:val="00F762C8"/>
    <w:rsid w:val="00F76521"/>
    <w:rsid w:val="00F76FF6"/>
    <w:rsid w:val="00F81C2C"/>
    <w:rsid w:val="00F81DC3"/>
    <w:rsid w:val="00F829F0"/>
    <w:rsid w:val="00F82BCE"/>
    <w:rsid w:val="00F83113"/>
    <w:rsid w:val="00F84CC2"/>
    <w:rsid w:val="00F9067F"/>
    <w:rsid w:val="00F92753"/>
    <w:rsid w:val="00F92D6A"/>
    <w:rsid w:val="00F931DC"/>
    <w:rsid w:val="00F95338"/>
    <w:rsid w:val="00F953AE"/>
    <w:rsid w:val="00F96B41"/>
    <w:rsid w:val="00FA18D6"/>
    <w:rsid w:val="00FA2207"/>
    <w:rsid w:val="00FA59A7"/>
    <w:rsid w:val="00FB171C"/>
    <w:rsid w:val="00FB5E58"/>
    <w:rsid w:val="00FB6AA9"/>
    <w:rsid w:val="00FC0E87"/>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F6"/>
    <w:pPr>
      <w:widowControl w:val="0"/>
      <w:jc w:val="both"/>
    </w:pPr>
    <w:rPr>
      <w:rFonts w:ascii="Times New Roman" w:eastAsia="宋体" w:hAnsi="Times New Roman" w:cs="Times New Roman"/>
      <w:szCs w:val="24"/>
    </w:rPr>
  </w:style>
  <w:style w:type="paragraph" w:styleId="1">
    <w:name w:val="heading 1"/>
    <w:basedOn w:val="a"/>
    <w:next w:val="a"/>
    <w:link w:val="1Char"/>
    <w:qFormat/>
    <w:rsid w:val="00610CF6"/>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10CF6"/>
    <w:rPr>
      <w:rFonts w:ascii="Times New Roman" w:eastAsia="宋体" w:hAnsi="Times New Roman" w:cs="Times New Roman"/>
      <w:b/>
      <w:bCs/>
      <w:kern w:val="44"/>
      <w:sz w:val="44"/>
      <w:szCs w:val="4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2015-12-02T10:20:00Z</dcterms:created>
  <dcterms:modified xsi:type="dcterms:W3CDTF">2015-12-02T10:20:00Z</dcterms:modified>
</cp:coreProperties>
</file>