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FCB" w:rsidRDefault="00507FCB" w:rsidP="00507FCB">
      <w:pPr>
        <w:spacing w:beforeLines="50" w:afterLines="50" w:line="360" w:lineRule="auto"/>
        <w:rPr>
          <w:b/>
        </w:rPr>
      </w:pPr>
      <w:bookmarkStart w:id="0" w:name="_Toc397780075"/>
      <w:bookmarkStart w:id="1" w:name="_Toc397779917"/>
      <w:bookmarkStart w:id="2" w:name="_Toc397779711"/>
      <w:bookmarkStart w:id="3" w:name="_Toc397779508"/>
      <w:bookmarkStart w:id="4" w:name="_Toc397779404"/>
      <w:r>
        <w:rPr>
          <w:b/>
        </w:rPr>
        <w:t>1</w:t>
      </w:r>
      <w:r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507FCB" w:rsidTr="00507FCB">
        <w:trPr>
          <w:trHeight w:val="521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CB" w:rsidRDefault="00507FCB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80076"/>
            <w:bookmarkStart w:id="6" w:name="_Toc397779918"/>
            <w:bookmarkStart w:id="7" w:name="_Toc397779712"/>
            <w:bookmarkStart w:id="8" w:name="_Toc397779509"/>
            <w:bookmarkStart w:id="9" w:name="_Toc397779405"/>
            <w:r>
              <w:rPr>
                <w:rFonts w:eastAsia="楷体" w:hint="eastAsia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CB" w:rsidRDefault="00507FCB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CB" w:rsidRDefault="00507FCB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CB" w:rsidRDefault="00507FCB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数量</w:t>
            </w:r>
          </w:p>
        </w:tc>
      </w:tr>
      <w:tr w:rsidR="00507FCB" w:rsidTr="00507FCB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CB" w:rsidRDefault="00507F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CB" w:rsidRDefault="00507FC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多靶多功能溅射系统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CB" w:rsidRDefault="00507F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CB" w:rsidRDefault="00507F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</w:tbl>
    <w:p w:rsidR="00507FCB" w:rsidRDefault="00507FCB" w:rsidP="00507FCB">
      <w:pPr>
        <w:spacing w:beforeLines="50" w:afterLines="50" w:line="360" w:lineRule="auto"/>
        <w:rPr>
          <w:b/>
        </w:rPr>
      </w:pPr>
      <w:r>
        <w:rPr>
          <w:b/>
        </w:rPr>
        <w:t>2</w:t>
      </w:r>
      <w:r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W w:w="8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993"/>
        <w:gridCol w:w="5526"/>
        <w:gridCol w:w="709"/>
        <w:gridCol w:w="708"/>
      </w:tblGrid>
      <w:tr w:rsidR="00507FCB" w:rsidTr="00507F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CB" w:rsidRDefault="00507FCB" w:rsidP="000D46B6">
            <w:pPr>
              <w:spacing w:beforeLines="50" w:afterLines="50"/>
              <w:jc w:val="center"/>
              <w:rPr>
                <w:b/>
              </w:rPr>
            </w:pPr>
            <w:bookmarkStart w:id="10" w:name="_Toc179632785"/>
            <w:bookmarkStart w:id="11" w:name="_Toc152045767"/>
            <w:bookmarkStart w:id="12" w:name="_Toc152042546"/>
            <w:bookmarkStart w:id="13" w:name="_Toc144974826"/>
            <w:bookmarkEnd w:id="10"/>
            <w:bookmarkEnd w:id="11"/>
            <w:bookmarkEnd w:id="12"/>
            <w:bookmarkEnd w:id="13"/>
            <w:r>
              <w:rPr>
                <w:rFonts w:hint="eastAsia"/>
                <w:b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CB" w:rsidRDefault="00507FCB" w:rsidP="000D46B6">
            <w:pPr>
              <w:spacing w:beforeLines="50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CB" w:rsidRDefault="00507FCB" w:rsidP="000D46B6">
            <w:pPr>
              <w:spacing w:beforeLines="50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详细技术指标及功能需求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CB" w:rsidRDefault="00507FCB" w:rsidP="000D46B6">
            <w:pPr>
              <w:spacing w:beforeLines="50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CB" w:rsidRDefault="00507FCB" w:rsidP="000D46B6">
            <w:pPr>
              <w:spacing w:beforeLines="50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</w:tr>
      <w:tr w:rsidR="00507FCB" w:rsidTr="00507F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CB" w:rsidRDefault="00507FCB" w:rsidP="000D46B6">
            <w:pPr>
              <w:spacing w:beforeLines="50" w:afterLines="5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CB" w:rsidRDefault="00507FC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多靶多功能溅射系统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CB" w:rsidRDefault="00507FCB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、主要用途：能够采用磁控溅射和离子束溅射制备超导、磁性材料、半导体介电材料等电子薄膜；并且能够在多种生物模板上制备具有仿生结构的功能材料。</w:t>
            </w:r>
          </w:p>
          <w:p w:rsidR="00507FCB" w:rsidRDefault="00507FCB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、系统总体要求：</w:t>
            </w:r>
          </w:p>
          <w:p w:rsidR="00507FCB" w:rsidRDefault="00507FCB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系统必须具备主机结构，</w:t>
            </w:r>
            <w:r>
              <w:rPr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套基片转动系统，</w:t>
            </w:r>
            <w:r>
              <w:rPr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个磁控溅射靶枪，</w:t>
            </w:r>
            <w:r>
              <w:rPr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套离子束溅射装置，</w:t>
            </w:r>
            <w:r>
              <w:rPr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个可旋转的离子束溅射靶材固定支架，</w:t>
            </w:r>
            <w:r>
              <w:rPr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套真空抽气系统和</w:t>
            </w:r>
            <w:r>
              <w:rPr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套加热系统。</w:t>
            </w:r>
          </w:p>
          <w:p w:rsidR="00507FCB" w:rsidRDefault="00507FCB">
            <w:pPr>
              <w:rPr>
                <w:szCs w:val="21"/>
              </w:rPr>
            </w:pPr>
            <w:r>
              <w:rPr>
                <w:szCs w:val="21"/>
              </w:rPr>
              <w:t>*3</w:t>
            </w:r>
            <w:r>
              <w:rPr>
                <w:rFonts w:hAnsi="宋体" w:hint="eastAsia"/>
                <w:szCs w:val="21"/>
              </w:rPr>
              <w:t>、基片转动系统技术要求：</w:t>
            </w:r>
          </w:p>
          <w:p w:rsidR="00507FCB" w:rsidRDefault="00507FCB">
            <w:pPr>
              <w:rPr>
                <w:szCs w:val="21"/>
              </w:rPr>
            </w:pPr>
            <w:r>
              <w:rPr>
                <w:szCs w:val="21"/>
              </w:rPr>
              <w:t xml:space="preserve">3.1. </w:t>
            </w:r>
            <w:r>
              <w:rPr>
                <w:rFonts w:hAnsi="宋体" w:hint="eastAsia"/>
                <w:szCs w:val="21"/>
              </w:rPr>
              <w:t>工位可放置一片样品，放置最大</w:t>
            </w:r>
            <w:r>
              <w:rPr>
                <w:szCs w:val="21"/>
              </w:rPr>
              <w:t>Φ60mm</w:t>
            </w:r>
            <w:r>
              <w:rPr>
                <w:rFonts w:hAnsi="宋体" w:hint="eastAsia"/>
                <w:szCs w:val="21"/>
              </w:rPr>
              <w:t>样品，</w:t>
            </w:r>
            <w:r>
              <w:rPr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基片能够正对靶面做公转运动，使基片可以实现公，转速可调，调整范围为</w:t>
            </w:r>
            <w:r>
              <w:rPr>
                <w:szCs w:val="21"/>
              </w:rPr>
              <w:t>30</w:t>
            </w:r>
            <w:r>
              <w:rPr>
                <w:rFonts w:hAnsi="宋体" w:hint="eastAsia"/>
                <w:szCs w:val="21"/>
              </w:rPr>
              <w:t>转</w:t>
            </w:r>
            <w:r>
              <w:rPr>
                <w:szCs w:val="21"/>
              </w:rPr>
              <w:t>/</w:t>
            </w:r>
            <w:r>
              <w:rPr>
                <w:rFonts w:hAnsi="宋体" w:hint="eastAsia"/>
                <w:szCs w:val="21"/>
              </w:rPr>
              <w:t>分钟～</w:t>
            </w:r>
            <w:r>
              <w:rPr>
                <w:szCs w:val="21"/>
              </w:rPr>
              <w:t>45</w:t>
            </w:r>
            <w:r>
              <w:rPr>
                <w:rFonts w:hAnsi="宋体" w:hint="eastAsia"/>
                <w:szCs w:val="21"/>
              </w:rPr>
              <w:t>转</w:t>
            </w:r>
            <w:r>
              <w:rPr>
                <w:szCs w:val="21"/>
              </w:rPr>
              <w:t>/</w:t>
            </w:r>
            <w:r>
              <w:rPr>
                <w:rFonts w:hAnsi="宋体" w:hint="eastAsia"/>
                <w:szCs w:val="21"/>
              </w:rPr>
              <w:t>分钟；</w:t>
            </w:r>
            <w:r>
              <w:rPr>
                <w:szCs w:val="21"/>
              </w:rPr>
              <w:t>(</w:t>
            </w:r>
            <w:r>
              <w:rPr>
                <w:rFonts w:hAnsi="宋体" w:hint="eastAsia"/>
                <w:szCs w:val="21"/>
              </w:rPr>
              <w:t>双面镀膜</w:t>
            </w:r>
            <w:r>
              <w:rPr>
                <w:szCs w:val="21"/>
              </w:rPr>
              <w:t>)</w:t>
            </w:r>
          </w:p>
          <w:p w:rsidR="00507FCB" w:rsidRDefault="00507FCB">
            <w:pPr>
              <w:rPr>
                <w:szCs w:val="21"/>
              </w:rPr>
            </w:pPr>
            <w:r>
              <w:rPr>
                <w:szCs w:val="21"/>
              </w:rPr>
              <w:t xml:space="preserve">3.2. </w:t>
            </w:r>
            <w:r>
              <w:rPr>
                <w:rFonts w:hAnsi="宋体" w:hint="eastAsia"/>
                <w:szCs w:val="21"/>
              </w:rPr>
              <w:t>样品转盘：加热样品转盘，转盘上有一个工位，工位安装加热炉，工位可放置一片样品，放置最大</w:t>
            </w:r>
            <w:r>
              <w:rPr>
                <w:szCs w:val="21"/>
              </w:rPr>
              <w:t>Φ60mm</w:t>
            </w:r>
            <w:r>
              <w:rPr>
                <w:rFonts w:hAnsi="宋体" w:hint="eastAsia"/>
                <w:szCs w:val="21"/>
              </w:rPr>
              <w:t>样品，最高加热温度为</w:t>
            </w:r>
            <w:r>
              <w:rPr>
                <w:szCs w:val="21"/>
              </w:rPr>
              <w:t>800</w:t>
            </w:r>
            <w:r>
              <w:rPr>
                <w:rFonts w:hAnsi="宋体" w:hint="eastAsia"/>
                <w:szCs w:val="21"/>
              </w:rPr>
              <w:t>℃；基片架可以</w:t>
            </w:r>
            <w:r>
              <w:rPr>
                <w:szCs w:val="21"/>
              </w:rPr>
              <w:t xml:space="preserve"> ± 0°</w:t>
            </w:r>
            <w:r>
              <w:rPr>
                <w:rFonts w:hAnsi="宋体" w:hint="eastAsia"/>
                <w:szCs w:val="21"/>
              </w:rPr>
              <w:t>～</w:t>
            </w:r>
            <w:r>
              <w:rPr>
                <w:szCs w:val="21"/>
              </w:rPr>
              <w:t>90°</w:t>
            </w:r>
            <w:r>
              <w:rPr>
                <w:rFonts w:hAnsi="宋体" w:hint="eastAsia"/>
                <w:szCs w:val="21"/>
              </w:rPr>
              <w:t>任意位置调整，基片角度要求在真空下可以调整。基片要求能够做自转，运动转速可调，调整范围为</w:t>
            </w:r>
            <w:r>
              <w:rPr>
                <w:szCs w:val="21"/>
              </w:rPr>
              <w:t>30</w:t>
            </w:r>
            <w:r>
              <w:rPr>
                <w:rFonts w:hAnsi="宋体" w:hint="eastAsia"/>
                <w:szCs w:val="21"/>
              </w:rPr>
              <w:t>转</w:t>
            </w:r>
            <w:r>
              <w:rPr>
                <w:szCs w:val="21"/>
              </w:rPr>
              <w:t>/</w:t>
            </w:r>
            <w:r>
              <w:rPr>
                <w:rFonts w:hAnsi="宋体" w:hint="eastAsia"/>
                <w:szCs w:val="21"/>
              </w:rPr>
              <w:t>分钟～</w:t>
            </w:r>
            <w:r>
              <w:rPr>
                <w:szCs w:val="21"/>
              </w:rPr>
              <w:t>45</w:t>
            </w:r>
            <w:r>
              <w:rPr>
                <w:rFonts w:hAnsi="宋体" w:hint="eastAsia"/>
                <w:szCs w:val="21"/>
              </w:rPr>
              <w:t>转</w:t>
            </w:r>
            <w:r>
              <w:rPr>
                <w:szCs w:val="21"/>
              </w:rPr>
              <w:t>/</w:t>
            </w:r>
            <w:r>
              <w:rPr>
                <w:rFonts w:hAnsi="宋体" w:hint="eastAsia"/>
                <w:szCs w:val="21"/>
              </w:rPr>
              <w:t>分钟。（单面镀膜）</w:t>
            </w:r>
          </w:p>
          <w:p w:rsidR="00507FCB" w:rsidRDefault="00507FCB">
            <w:pPr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Ansi="宋体" w:hint="eastAsia"/>
                <w:szCs w:val="21"/>
              </w:rPr>
              <w:t>、磁控溅射枪技术要求：</w:t>
            </w:r>
          </w:p>
          <w:p w:rsidR="00507FCB" w:rsidRDefault="00507FCB">
            <w:pPr>
              <w:rPr>
                <w:szCs w:val="21"/>
              </w:rPr>
            </w:pPr>
            <w:r>
              <w:rPr>
                <w:szCs w:val="21"/>
              </w:rPr>
              <w:t xml:space="preserve">4.1. </w:t>
            </w:r>
            <w:r>
              <w:rPr>
                <w:rFonts w:hAnsi="宋体" w:hint="eastAsia"/>
                <w:szCs w:val="21"/>
              </w:rPr>
              <w:t>系统配置两个圆形磁控靶枪对向放置，磁控靶的磁钢采用钐钴，溅射枪表面磁场约为</w:t>
            </w:r>
            <w:r>
              <w:rPr>
                <w:szCs w:val="21"/>
              </w:rPr>
              <w:t>800</w:t>
            </w:r>
            <w:r>
              <w:rPr>
                <w:rFonts w:hAnsi="宋体" w:hint="eastAsia"/>
                <w:szCs w:val="21"/>
              </w:rPr>
              <w:t>高斯，误差</w:t>
            </w:r>
            <w:r>
              <w:rPr>
                <w:szCs w:val="21"/>
              </w:rPr>
              <w:t>≤±10%</w:t>
            </w:r>
            <w:r>
              <w:rPr>
                <w:rFonts w:hAnsi="宋体" w:hint="eastAsia"/>
                <w:szCs w:val="21"/>
              </w:rPr>
              <w:t>；</w:t>
            </w:r>
          </w:p>
          <w:p w:rsidR="00507FCB" w:rsidRDefault="00507FCB">
            <w:pPr>
              <w:rPr>
                <w:szCs w:val="21"/>
              </w:rPr>
            </w:pPr>
            <w:r>
              <w:rPr>
                <w:szCs w:val="21"/>
              </w:rPr>
              <w:t xml:space="preserve">*4.2. </w:t>
            </w:r>
            <w:r>
              <w:rPr>
                <w:rFonts w:hAnsi="宋体" w:hint="eastAsia"/>
                <w:szCs w:val="21"/>
              </w:rPr>
              <w:t>靶材尺寸为</w:t>
            </w:r>
            <w:r>
              <w:rPr>
                <w:szCs w:val="21"/>
              </w:rPr>
              <w:t>Φ60 mm</w:t>
            </w:r>
            <w:r>
              <w:rPr>
                <w:rFonts w:hAnsi="宋体" w:hint="eastAsia"/>
                <w:szCs w:val="21"/>
              </w:rPr>
              <w:t>，靶电源配置两个</w:t>
            </w:r>
            <w:r>
              <w:rPr>
                <w:szCs w:val="21"/>
              </w:rPr>
              <w:t>1000 W</w:t>
            </w:r>
            <w:r>
              <w:rPr>
                <w:rFonts w:hAnsi="宋体" w:hint="eastAsia"/>
                <w:szCs w:val="21"/>
              </w:rPr>
              <w:t>直流电源和</w:t>
            </w:r>
            <w:r>
              <w:rPr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个</w:t>
            </w:r>
            <w:r>
              <w:rPr>
                <w:szCs w:val="21"/>
              </w:rPr>
              <w:t>500 W</w:t>
            </w:r>
            <w:r>
              <w:rPr>
                <w:rFonts w:hAnsi="宋体" w:hint="eastAsia"/>
                <w:szCs w:val="21"/>
              </w:rPr>
              <w:t>射频电源，射频电源频率为</w:t>
            </w:r>
            <w:r>
              <w:rPr>
                <w:szCs w:val="21"/>
              </w:rPr>
              <w:t>13.56 MHz</w:t>
            </w:r>
            <w:r>
              <w:rPr>
                <w:rFonts w:hAnsi="宋体" w:hint="eastAsia"/>
                <w:szCs w:val="21"/>
              </w:rPr>
              <w:t>；</w:t>
            </w:r>
          </w:p>
          <w:p w:rsidR="00507FCB" w:rsidRDefault="00507FCB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rFonts w:hAnsi="宋体" w:hint="eastAsia"/>
                <w:szCs w:val="21"/>
              </w:rPr>
              <w:t>、离子束溅射装置技术要求：</w:t>
            </w:r>
          </w:p>
          <w:p w:rsidR="00507FCB" w:rsidRDefault="00507FCB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5.1. </w:t>
            </w:r>
            <w:r>
              <w:rPr>
                <w:rFonts w:hAnsi="宋体" w:hint="eastAsia"/>
                <w:szCs w:val="21"/>
              </w:rPr>
              <w:t>离子能量范围</w:t>
            </w:r>
            <w:r>
              <w:rPr>
                <w:szCs w:val="21"/>
              </w:rPr>
              <w:t>300</w:t>
            </w:r>
            <w:r>
              <w:rPr>
                <w:rFonts w:hAnsi="宋体" w:hint="eastAsia"/>
                <w:szCs w:val="21"/>
              </w:rPr>
              <w:t>～</w:t>
            </w:r>
            <w:r>
              <w:rPr>
                <w:szCs w:val="21"/>
              </w:rPr>
              <w:t>3000 eV</w:t>
            </w:r>
            <w:r>
              <w:rPr>
                <w:rFonts w:hAnsi="宋体" w:hint="eastAsia"/>
                <w:szCs w:val="21"/>
              </w:rPr>
              <w:t>，离子束流范围</w:t>
            </w:r>
            <w:r>
              <w:rPr>
                <w:szCs w:val="21"/>
              </w:rPr>
              <w:t>50</w:t>
            </w:r>
            <w:r>
              <w:rPr>
                <w:rFonts w:hAnsi="宋体" w:hint="eastAsia"/>
                <w:szCs w:val="21"/>
              </w:rPr>
              <w:t>～</w:t>
            </w:r>
            <w:r>
              <w:rPr>
                <w:szCs w:val="21"/>
              </w:rPr>
              <w:t>150 mA</w:t>
            </w:r>
            <w:r>
              <w:rPr>
                <w:rFonts w:hAnsi="宋体" w:hint="eastAsia"/>
                <w:szCs w:val="21"/>
              </w:rPr>
              <w:t>；</w:t>
            </w:r>
          </w:p>
          <w:p w:rsidR="00507FCB" w:rsidRDefault="00507FCB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5.2. </w:t>
            </w:r>
            <w:r>
              <w:rPr>
                <w:rFonts w:hAnsi="宋体" w:hint="eastAsia"/>
                <w:szCs w:val="21"/>
              </w:rPr>
              <w:t>工作气体要求为氩气、氮气，工作范围为</w:t>
            </w:r>
            <w:r>
              <w:rPr>
                <w:szCs w:val="21"/>
              </w:rPr>
              <w:t>1×10</w:t>
            </w:r>
            <w:r>
              <w:rPr>
                <w:szCs w:val="21"/>
                <w:vertAlign w:val="superscript"/>
              </w:rPr>
              <w:t xml:space="preserve">-2 </w:t>
            </w:r>
            <w:r>
              <w:rPr>
                <w:szCs w:val="21"/>
              </w:rPr>
              <w:t>Pa~5×10</w:t>
            </w:r>
            <w:r>
              <w:rPr>
                <w:szCs w:val="21"/>
                <w:vertAlign w:val="superscript"/>
              </w:rPr>
              <w:t xml:space="preserve">-2 </w:t>
            </w:r>
            <w:r>
              <w:rPr>
                <w:szCs w:val="21"/>
              </w:rPr>
              <w:t>Pa</w:t>
            </w:r>
            <w:r>
              <w:rPr>
                <w:rFonts w:hAnsi="宋体" w:hint="eastAsia"/>
                <w:szCs w:val="21"/>
              </w:rPr>
              <w:t>；</w:t>
            </w:r>
          </w:p>
          <w:p w:rsidR="00507FCB" w:rsidRDefault="00507FCB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5.3. </w:t>
            </w:r>
            <w:r>
              <w:rPr>
                <w:rFonts w:hAnsi="宋体" w:hint="eastAsia"/>
                <w:szCs w:val="21"/>
              </w:rPr>
              <w:t>溅射区域范围为</w:t>
            </w:r>
            <w:r>
              <w:rPr>
                <w:szCs w:val="21"/>
              </w:rPr>
              <w:t>Φ30mm-Φ60 mm</w:t>
            </w:r>
            <w:r>
              <w:rPr>
                <w:rFonts w:hAnsi="宋体" w:hint="eastAsia"/>
                <w:szCs w:val="21"/>
              </w:rPr>
              <w:t>；</w:t>
            </w:r>
          </w:p>
          <w:p w:rsidR="00507FCB" w:rsidRDefault="00507FCB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6</w:t>
            </w:r>
            <w:r>
              <w:rPr>
                <w:rFonts w:hAnsi="宋体" w:hint="eastAsia"/>
                <w:szCs w:val="21"/>
              </w:rPr>
              <w:t>、离子束溅射靶材固定支架技术要求：</w:t>
            </w:r>
          </w:p>
          <w:p w:rsidR="00507FCB" w:rsidRDefault="00507FCB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6.1. </w:t>
            </w:r>
            <w:r>
              <w:rPr>
                <w:rFonts w:hAnsi="宋体" w:hint="eastAsia"/>
                <w:szCs w:val="21"/>
              </w:rPr>
              <w:t>在样品转盘工位的下方安装一个四工位转靶，每一个工位安装一个靶材，靶材尺寸为</w:t>
            </w:r>
            <w:r>
              <w:rPr>
                <w:szCs w:val="21"/>
              </w:rPr>
              <w:t>70×70mm</w:t>
            </w:r>
            <w:r>
              <w:rPr>
                <w:rFonts w:hAnsi="宋体" w:hint="eastAsia"/>
                <w:szCs w:val="21"/>
              </w:rPr>
              <w:t>，转靶通水冷却，靶材平面与溅射离子枪呈</w:t>
            </w:r>
            <w:r>
              <w:rPr>
                <w:szCs w:val="21"/>
              </w:rPr>
              <w:t>45°</w:t>
            </w:r>
            <w:r>
              <w:rPr>
                <w:rFonts w:hAnsi="宋体" w:hint="eastAsia"/>
                <w:szCs w:val="21"/>
              </w:rPr>
              <w:t>。转靶由电机驱动转动到不同的四个工位。</w:t>
            </w:r>
          </w:p>
          <w:p w:rsidR="00507FCB" w:rsidRDefault="00507FCB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6.2. </w:t>
            </w:r>
            <w:r>
              <w:rPr>
                <w:rFonts w:hAnsi="宋体" w:hint="eastAsia"/>
                <w:szCs w:val="21"/>
              </w:rPr>
              <w:t>转靶挡板，转靶配有一个筒形挡板，由机械转轴驱动，</w:t>
            </w:r>
            <w:r>
              <w:rPr>
                <w:rFonts w:hAnsi="宋体" w:hint="eastAsia"/>
                <w:szCs w:val="21"/>
              </w:rPr>
              <w:lastRenderedPageBreak/>
              <w:t>手动。</w:t>
            </w:r>
          </w:p>
          <w:p w:rsidR="00507FCB" w:rsidRDefault="00507FCB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Ansi="宋体" w:hint="eastAsia"/>
                <w:szCs w:val="21"/>
              </w:rPr>
              <w:t>、真空系统技术要求：</w:t>
            </w:r>
          </w:p>
          <w:p w:rsidR="00507FCB" w:rsidRDefault="00507FCB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7.1. </w:t>
            </w:r>
            <w:r>
              <w:rPr>
                <w:rFonts w:hAnsi="宋体" w:hint="eastAsia"/>
                <w:szCs w:val="21"/>
              </w:rPr>
              <w:t>要求主泵配用涡轮分子泵，分子泵口径为</w:t>
            </w:r>
            <w:r>
              <w:rPr>
                <w:szCs w:val="21"/>
              </w:rPr>
              <w:t>160 mm</w:t>
            </w:r>
            <w:r>
              <w:rPr>
                <w:rFonts w:hAnsi="宋体" w:hint="eastAsia"/>
                <w:szCs w:val="21"/>
              </w:rPr>
              <w:t>，前级配用直连机械泵；</w:t>
            </w:r>
          </w:p>
          <w:p w:rsidR="00507FCB" w:rsidRDefault="00507FCB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7.2. </w:t>
            </w:r>
            <w:r>
              <w:rPr>
                <w:rFonts w:hAnsi="宋体" w:hint="eastAsia"/>
                <w:szCs w:val="21"/>
              </w:rPr>
              <w:t>配备高真空阀、高真空阀口径为</w:t>
            </w:r>
            <w:r>
              <w:rPr>
                <w:szCs w:val="21"/>
              </w:rPr>
              <w:t>160 mm</w:t>
            </w:r>
            <w:r>
              <w:rPr>
                <w:rFonts w:hAnsi="宋体" w:hint="eastAsia"/>
                <w:szCs w:val="21"/>
              </w:rPr>
              <w:t>低真空阀、予真空阀、放气阀等真空控制单元，高真空阀为手动插板阀，可通过高真空阀控制真空室压强；</w:t>
            </w:r>
          </w:p>
          <w:p w:rsidR="00507FCB" w:rsidRDefault="00507FCB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7.3. </w:t>
            </w:r>
            <w:r>
              <w:rPr>
                <w:rFonts w:hAnsi="宋体" w:hint="eastAsia"/>
                <w:szCs w:val="21"/>
              </w:rPr>
              <w:t>镀膜室极限真空度应不低于</w:t>
            </w:r>
            <w:r>
              <w:rPr>
                <w:szCs w:val="21"/>
              </w:rPr>
              <w:t>6×10</w:t>
            </w:r>
            <w:r>
              <w:rPr>
                <w:szCs w:val="21"/>
                <w:vertAlign w:val="superscript"/>
              </w:rPr>
              <w:t>-5</w:t>
            </w:r>
            <w:r>
              <w:rPr>
                <w:szCs w:val="21"/>
              </w:rPr>
              <w:t>Pa</w:t>
            </w:r>
            <w:r>
              <w:rPr>
                <w:rFonts w:hAnsi="宋体" w:hint="eastAsia"/>
                <w:szCs w:val="21"/>
              </w:rPr>
              <w:t>；</w:t>
            </w:r>
          </w:p>
          <w:p w:rsidR="00507FCB" w:rsidRDefault="00507FCB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8</w:t>
            </w:r>
            <w:r>
              <w:rPr>
                <w:rFonts w:hAnsi="宋体" w:hint="eastAsia"/>
                <w:szCs w:val="21"/>
              </w:rPr>
              <w:t>、加热系统技术要求：</w:t>
            </w:r>
          </w:p>
          <w:p w:rsidR="00507FCB" w:rsidRDefault="00507FCB">
            <w:pPr>
              <w:jc w:val="left"/>
              <w:rPr>
                <w:rFonts w:hAnsi="宋体"/>
                <w:szCs w:val="21"/>
              </w:rPr>
            </w:pPr>
            <w:r>
              <w:rPr>
                <w:szCs w:val="21"/>
              </w:rPr>
              <w:t>8.1</w:t>
            </w:r>
            <w:r>
              <w:rPr>
                <w:rFonts w:hAnsi="宋体" w:hint="eastAsia"/>
                <w:szCs w:val="21"/>
              </w:rPr>
              <w:t>基片加热器尺寸约</w:t>
            </w:r>
            <w:r>
              <w:rPr>
                <w:szCs w:val="21"/>
              </w:rPr>
              <w:t>70mm</w:t>
            </w:r>
            <w:r>
              <w:rPr>
                <w:szCs w:val="21"/>
              </w:rPr>
              <w:sym w:font="Times New Roman" w:char="F046"/>
            </w:r>
            <w:r>
              <w:rPr>
                <w:rFonts w:hAnsi="宋体" w:hint="eastAsia"/>
                <w:szCs w:val="21"/>
              </w:rPr>
              <w:t>，温度可控可调，最高加热温度</w:t>
            </w:r>
            <w:r>
              <w:rPr>
                <w:szCs w:val="21"/>
              </w:rPr>
              <w:t xml:space="preserve">800 </w:t>
            </w:r>
            <w:r>
              <w:rPr>
                <w:szCs w:val="21"/>
                <w:vertAlign w:val="superscript"/>
              </w:rPr>
              <w:t>o</w:t>
            </w:r>
            <w:r>
              <w:rPr>
                <w:szCs w:val="21"/>
              </w:rPr>
              <w:t>C</w:t>
            </w:r>
            <w:r>
              <w:rPr>
                <w:rFonts w:hAnsi="宋体" w:hint="eastAsia"/>
                <w:szCs w:val="21"/>
              </w:rPr>
              <w:t>，要求加热温度精度为</w:t>
            </w:r>
            <w:r>
              <w:rPr>
                <w:szCs w:val="21"/>
              </w:rPr>
              <w:t xml:space="preserve">±2 </w:t>
            </w:r>
            <w:r>
              <w:rPr>
                <w:szCs w:val="21"/>
                <w:vertAlign w:val="superscript"/>
              </w:rPr>
              <w:t>o</w:t>
            </w:r>
            <w:r>
              <w:rPr>
                <w:szCs w:val="21"/>
              </w:rPr>
              <w:t>C</w:t>
            </w:r>
            <w:r>
              <w:rPr>
                <w:rFonts w:hAnsi="宋体" w:hint="eastAsia"/>
                <w:szCs w:val="21"/>
              </w:rPr>
              <w:t>；基片运动始终位于加热器的中部。</w:t>
            </w:r>
          </w:p>
          <w:p w:rsidR="00507FCB" w:rsidRDefault="00507FCB">
            <w:pPr>
              <w:jc w:val="left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注：加</w:t>
            </w:r>
            <w:r>
              <w:rPr>
                <w:rFonts w:hAnsi="宋体"/>
                <w:szCs w:val="21"/>
              </w:rPr>
              <w:t>*</w:t>
            </w:r>
            <w:r>
              <w:rPr>
                <w:rFonts w:hAnsi="宋体" w:hint="eastAsia"/>
                <w:szCs w:val="21"/>
              </w:rPr>
              <w:t>指标为核心指标，必须满足。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CB" w:rsidRDefault="00507F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CB" w:rsidRDefault="00507F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</w:tbl>
    <w:p w:rsidR="00507FCB" w:rsidRDefault="00507FCB" w:rsidP="00507FCB">
      <w:pPr>
        <w:spacing w:beforeLines="50" w:afterLines="50" w:line="360" w:lineRule="auto"/>
        <w:rPr>
          <w:b/>
        </w:rPr>
      </w:pPr>
      <w:r>
        <w:rPr>
          <w:b/>
        </w:rPr>
        <w:lastRenderedPageBreak/>
        <w:t>3</w:t>
      </w:r>
      <w:r>
        <w:rPr>
          <w:rFonts w:hint="eastAsia"/>
          <w:b/>
        </w:rPr>
        <w:t>、质保要求</w:t>
      </w:r>
    </w:p>
    <w:p w:rsidR="00507FCB" w:rsidRDefault="00507FCB" w:rsidP="00507FCB">
      <w:pPr>
        <w:spacing w:beforeLines="50" w:afterLines="50" w:line="360" w:lineRule="auto"/>
        <w:ind w:firstLineChars="200" w:firstLine="420"/>
      </w:pPr>
      <w:r>
        <w:rPr>
          <w:rFonts w:hint="eastAsia"/>
        </w:rPr>
        <w:t>质保</w:t>
      </w:r>
      <w:r>
        <w:t>1</w:t>
      </w:r>
      <w:r>
        <w:rPr>
          <w:rFonts w:hint="eastAsia"/>
        </w:rPr>
        <w:t>年，</w:t>
      </w:r>
      <w:r>
        <w:t>1</w:t>
      </w:r>
      <w:r>
        <w:rPr>
          <w:rFonts w:hint="eastAsia"/>
        </w:rPr>
        <w:t>年后有偿服务，需提供详细的售后服务方案。</w:t>
      </w:r>
    </w:p>
    <w:p w:rsidR="00507FCB" w:rsidRDefault="00507FCB" w:rsidP="00507FCB">
      <w:pPr>
        <w:spacing w:line="440" w:lineRule="exact"/>
        <w:ind w:firstLineChars="200" w:firstLine="420"/>
        <w:rPr>
          <w:rFonts w:eastAsia="黑体"/>
          <w:sz w:val="20"/>
          <w:szCs w:val="20"/>
        </w:rPr>
      </w:pPr>
      <w:r>
        <w:rPr>
          <w:rFonts w:hint="eastAsia"/>
          <w:szCs w:val="21"/>
        </w:rPr>
        <w:t>上述技术要求和其他要求，仅作为报价人编制响应性文件和参加谈判时之参考。通过谈判，最终确定符合采购需求的技术指标及相关要求。</w:t>
      </w:r>
    </w:p>
    <w:p w:rsidR="00122078" w:rsidRDefault="00122078"/>
    <w:sectPr w:rsidR="00122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078" w:rsidRDefault="00122078" w:rsidP="00507FCB">
      <w:r>
        <w:separator/>
      </w:r>
    </w:p>
  </w:endnote>
  <w:endnote w:type="continuationSeparator" w:id="1">
    <w:p w:rsidR="00122078" w:rsidRDefault="00122078" w:rsidP="00507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078" w:rsidRDefault="00122078" w:rsidP="00507FCB">
      <w:r>
        <w:separator/>
      </w:r>
    </w:p>
  </w:footnote>
  <w:footnote w:type="continuationSeparator" w:id="1">
    <w:p w:rsidR="00122078" w:rsidRDefault="00122078" w:rsidP="00507F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7FCB"/>
    <w:rsid w:val="00122078"/>
    <w:rsid w:val="0050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F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7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7F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7F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7F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2015-06-02T07:42:00Z</dcterms:created>
  <dcterms:modified xsi:type="dcterms:W3CDTF">2015-06-02T07:42:00Z</dcterms:modified>
</cp:coreProperties>
</file>